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0"/>
        <w:gridCol w:w="1072"/>
        <w:gridCol w:w="715"/>
        <w:gridCol w:w="715"/>
        <w:gridCol w:w="4303"/>
      </w:tblGrid>
      <w:tr w:rsidR="00E97A16" w:rsidRPr="0053744C" w14:paraId="41028DD3" w14:textId="77777777" w:rsidTr="3DE1753A">
        <w:trPr>
          <w:trHeight w:val="998"/>
          <w:tblHeader/>
          <w:jc w:val="center"/>
        </w:trPr>
        <w:tc>
          <w:tcPr>
            <w:tcW w:w="68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5AFFD" w14:textId="4B28F07C" w:rsidR="00E97A16" w:rsidRPr="00C459E3" w:rsidRDefault="000D49FA" w:rsidP="00FC0A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color w:val="000000" w:themeColor="text1"/>
                <w:sz w:val="22"/>
                <w:szCs w:val="22"/>
              </w:rPr>
            </w:pPr>
            <w:r w:rsidRPr="00C459E3">
              <w:rPr>
                <w:rFonts w:asciiTheme="minorHAnsi" w:hAnsiTheme="minorHAnsi" w:cstheme="minorHAnsi"/>
                <w:b/>
                <w:smallCaps/>
                <w:color w:val="000000" w:themeColor="text1"/>
                <w:sz w:val="22"/>
                <w:szCs w:val="22"/>
              </w:rPr>
              <w:t>FACTOR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D4D16" w14:textId="6A0BF59D" w:rsidR="00E97A16" w:rsidRPr="00C459E3" w:rsidRDefault="000D49FA" w:rsidP="00075A0E">
            <w:pPr>
              <w:jc w:val="center"/>
              <w:rPr>
                <w:rFonts w:asciiTheme="minorHAnsi" w:hAnsiTheme="minorHAnsi" w:cstheme="minorHAnsi"/>
                <w:b/>
                <w:smallCaps/>
                <w:color w:val="000000" w:themeColor="text1"/>
                <w:sz w:val="22"/>
                <w:szCs w:val="22"/>
              </w:rPr>
            </w:pPr>
            <w:r w:rsidRPr="00C459E3">
              <w:rPr>
                <w:rFonts w:asciiTheme="minorHAnsi" w:hAnsiTheme="minorHAnsi" w:cstheme="minorHAnsi"/>
                <w:b/>
                <w:smallCaps/>
                <w:color w:val="000000" w:themeColor="text1"/>
                <w:sz w:val="22"/>
                <w:szCs w:val="22"/>
              </w:rPr>
              <w:t>CM PLAN</w:t>
            </w:r>
          </w:p>
          <w:p w14:paraId="27F3061B" w14:textId="40C9D5F6" w:rsidR="00E97A16" w:rsidRPr="00C459E3" w:rsidRDefault="000D49FA" w:rsidP="00075A0E">
            <w:pPr>
              <w:jc w:val="center"/>
              <w:rPr>
                <w:rFonts w:asciiTheme="minorHAnsi" w:hAnsiTheme="minorHAnsi" w:cstheme="minorHAnsi"/>
                <w:b/>
                <w:smallCaps/>
                <w:color w:val="000000" w:themeColor="text1"/>
                <w:sz w:val="22"/>
                <w:szCs w:val="22"/>
              </w:rPr>
            </w:pPr>
            <w:r w:rsidRPr="00C459E3">
              <w:rPr>
                <w:rFonts w:asciiTheme="minorHAnsi" w:hAnsiTheme="minorHAnsi" w:cstheme="minorHAnsi"/>
                <w:b/>
                <w:smallCaps/>
                <w:color w:val="000000" w:themeColor="text1"/>
                <w:sz w:val="22"/>
                <w:szCs w:val="22"/>
              </w:rPr>
              <w:t>PAGE #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E0DBB" w14:textId="26C894CB" w:rsidR="00E97A16" w:rsidRPr="00C459E3" w:rsidRDefault="000D49FA" w:rsidP="002A284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color w:val="000000" w:themeColor="text1"/>
                <w:sz w:val="22"/>
                <w:szCs w:val="22"/>
              </w:rPr>
            </w:pPr>
            <w:r w:rsidRPr="00C459E3">
              <w:rPr>
                <w:rFonts w:asciiTheme="minorHAnsi" w:hAnsiTheme="minorHAnsi" w:cstheme="minorHAnsi"/>
                <w:b/>
                <w:smallCap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18332" w14:textId="57D17415" w:rsidR="00E97A16" w:rsidRPr="00C459E3" w:rsidRDefault="000D49FA" w:rsidP="002A284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color w:val="000000" w:themeColor="text1"/>
                <w:sz w:val="22"/>
                <w:szCs w:val="22"/>
              </w:rPr>
            </w:pPr>
            <w:r w:rsidRPr="00C459E3">
              <w:rPr>
                <w:rFonts w:asciiTheme="minorHAnsi" w:hAnsiTheme="minorHAnsi" w:cstheme="minorHAnsi"/>
                <w:b/>
                <w:smallCap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2DAD9" w14:textId="71D504C8" w:rsidR="00E97A16" w:rsidRPr="00C459E3" w:rsidRDefault="000D49FA" w:rsidP="002A284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color w:val="000000" w:themeColor="text1"/>
                <w:sz w:val="22"/>
                <w:szCs w:val="22"/>
              </w:rPr>
            </w:pPr>
            <w:r w:rsidRPr="00C459E3">
              <w:rPr>
                <w:rFonts w:asciiTheme="minorHAnsi" w:hAnsiTheme="minorHAnsi" w:cstheme="minorHAnsi"/>
                <w:b/>
                <w:smallCaps/>
                <w:color w:val="000000" w:themeColor="text1"/>
                <w:sz w:val="22"/>
                <w:szCs w:val="22"/>
              </w:rPr>
              <w:t>COMMENTS</w:t>
            </w:r>
          </w:p>
        </w:tc>
      </w:tr>
      <w:tr w:rsidR="000D6C94" w:rsidRPr="0053744C" w14:paraId="25BDDE54" w14:textId="77777777" w:rsidTr="3DE1753A">
        <w:trPr>
          <w:jc w:val="center"/>
        </w:trPr>
        <w:tc>
          <w:tcPr>
            <w:tcW w:w="6870" w:type="dxa"/>
            <w:shd w:val="clear" w:color="auto" w:fill="auto"/>
          </w:tcPr>
          <w:p w14:paraId="1A07AD13" w14:textId="403EF7B2" w:rsidR="00FA32A3" w:rsidRPr="0053744C" w:rsidRDefault="000421BA" w:rsidP="00800077">
            <w:pPr>
              <w:numPr>
                <w:ilvl w:val="0"/>
                <w:numId w:val="23"/>
              </w:num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Overview of the f</w:t>
            </w:r>
            <w:r w:rsidR="000D6C94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unctional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D6C94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rganizational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D6C94" w:rsidRPr="0053744C">
              <w:rPr>
                <w:rFonts w:asciiTheme="minorHAnsi" w:hAnsiTheme="minorHAnsi" w:cstheme="minorHAnsi"/>
                <w:sz w:val="22"/>
                <w:szCs w:val="22"/>
              </w:rPr>
              <w:t>tructure</w:t>
            </w:r>
            <w:r w:rsidR="00740DC3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of the </w:t>
            </w:r>
            <w:r w:rsidR="00366FD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34BA9">
              <w:rPr>
                <w:rFonts w:asciiTheme="minorHAnsi" w:hAnsiTheme="minorHAnsi" w:cstheme="minorHAnsi"/>
                <w:sz w:val="22"/>
                <w:szCs w:val="22"/>
              </w:rPr>
              <w:t xml:space="preserve">ase </w:t>
            </w:r>
            <w:r w:rsidR="00366FD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34BA9">
              <w:rPr>
                <w:rFonts w:asciiTheme="minorHAnsi" w:hAnsiTheme="minorHAnsi" w:cstheme="minorHAnsi"/>
                <w:sz w:val="22"/>
                <w:szCs w:val="22"/>
              </w:rPr>
              <w:t>anagement</w:t>
            </w:r>
            <w:r w:rsidR="002C4558" w:rsidRPr="00A34B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Department</w:t>
            </w:r>
            <w:r w:rsidR="004037AF" w:rsidRPr="0053744C">
              <w:rPr>
                <w:rFonts w:asciiTheme="minorHAnsi" w:hAnsiTheme="minorHAnsi" w:cstheme="minorHAnsi"/>
                <w:sz w:val="22"/>
                <w:szCs w:val="22"/>
              </w:rPr>
              <w:t>, including case management functional organizational chart</w:t>
            </w:r>
            <w:r w:rsidR="00873114" w:rsidRPr="005374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876814" w14:textId="77777777" w:rsidR="000D6C94" w:rsidRPr="0053744C" w:rsidRDefault="000D6C94" w:rsidP="00FA32A3">
            <w:pPr>
              <w:ind w:left="5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CB08741" w14:textId="77777777" w:rsidR="000D6C94" w:rsidRPr="0053744C" w:rsidRDefault="000D6C94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4B41A719" w14:textId="77777777" w:rsidR="000D6C94" w:rsidRPr="0053744C" w:rsidRDefault="000D6C94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0B445DF" w14:textId="77777777" w:rsidR="000D6C94" w:rsidRPr="0053744C" w:rsidRDefault="000D6C94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0EE9430C" w14:textId="77777777" w:rsidR="000D6C94" w:rsidRPr="0053744C" w:rsidRDefault="000D6C94" w:rsidP="00FA32A3">
            <w:pPr>
              <w:spacing w:line="360" w:lineRule="auto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9E0BDF" w:rsidRPr="0053744C" w14:paraId="632F682C" w14:textId="77777777" w:rsidTr="3DE1753A">
        <w:trPr>
          <w:jc w:val="center"/>
        </w:trPr>
        <w:tc>
          <w:tcPr>
            <w:tcW w:w="6870" w:type="dxa"/>
            <w:shd w:val="clear" w:color="auto" w:fill="auto"/>
          </w:tcPr>
          <w:p w14:paraId="0007147C" w14:textId="11963131" w:rsidR="00C753D2" w:rsidRPr="0053744C" w:rsidRDefault="000421BA" w:rsidP="00800077">
            <w:pPr>
              <w:numPr>
                <w:ilvl w:val="0"/>
                <w:numId w:val="23"/>
              </w:numPr>
              <w:ind w:left="5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Contractor’s required </w:t>
            </w:r>
            <w:r w:rsidR="008F7C2C" w:rsidRPr="0053744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ase </w:t>
            </w:r>
            <w:r w:rsidR="008F7C2C" w:rsidRPr="0053744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>anager</w:t>
            </w:r>
            <w:r w:rsidR="00C71F06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8F7C2C" w:rsidRPr="0053744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71F06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ase </w:t>
            </w:r>
            <w:r w:rsidR="008F7C2C" w:rsidRPr="0053744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71F06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anager </w:t>
            </w:r>
            <w:r w:rsidR="008F7C2C" w:rsidRPr="0053744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71F06" w:rsidRPr="0053744C">
              <w:rPr>
                <w:rFonts w:asciiTheme="minorHAnsi" w:hAnsiTheme="minorHAnsi" w:cstheme="minorHAnsi"/>
                <w:sz w:val="22"/>
                <w:szCs w:val="22"/>
              </w:rPr>
              <w:t>upervisor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competencies/qualification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46088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, including </w:t>
            </w:r>
            <w:r w:rsidR="0086476E" w:rsidRPr="0053744C">
              <w:rPr>
                <w:rFonts w:asciiTheme="minorHAnsi" w:hAnsiTheme="minorHAnsi" w:cstheme="minorHAnsi"/>
                <w:sz w:val="22"/>
                <w:szCs w:val="22"/>
              </w:rPr>
              <w:t>competencies/</w:t>
            </w:r>
            <w:r w:rsidR="00C46088" w:rsidRPr="0053744C">
              <w:rPr>
                <w:rFonts w:asciiTheme="minorHAnsi" w:hAnsiTheme="minorHAnsi" w:cstheme="minorHAnsi"/>
                <w:sz w:val="22"/>
                <w:szCs w:val="22"/>
              </w:rPr>
              <w:t>qualifications for</w:t>
            </w:r>
            <w:r w:rsidR="00873114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7724" w:rsidRPr="0053744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46088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ase managers serving individuals determined to have a </w:t>
            </w:r>
            <w:r w:rsidR="000B16F4" w:rsidRPr="0053744C">
              <w:rPr>
                <w:rFonts w:asciiTheme="minorHAnsi" w:hAnsiTheme="minorHAnsi" w:cstheme="minorHAnsi"/>
                <w:sz w:val="22"/>
                <w:szCs w:val="22"/>
              </w:rPr>
              <w:t>Serious Mental Illness (</w:t>
            </w:r>
            <w:r w:rsidR="00C46088" w:rsidRPr="0053744C">
              <w:rPr>
                <w:rFonts w:asciiTheme="minorHAnsi" w:hAnsiTheme="minorHAnsi" w:cstheme="minorHAnsi"/>
                <w:sz w:val="22"/>
                <w:szCs w:val="22"/>
              </w:rPr>
              <w:t>SMI</w:t>
            </w:r>
            <w:r w:rsidR="000B16F4" w:rsidRPr="0053744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46088" w:rsidRPr="005374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753D2" w:rsidRPr="0053744C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AA995F7" w14:textId="77777777" w:rsidR="009E0BDF" w:rsidRPr="0053744C" w:rsidRDefault="009E0BDF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6EAF20F" w14:textId="77777777" w:rsidR="009E0BDF" w:rsidRPr="0053744C" w:rsidRDefault="009E0BDF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E54FBF2" w14:textId="77777777" w:rsidR="009E0BDF" w:rsidRPr="0053744C" w:rsidRDefault="009E0BDF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D524C3A" w14:textId="77777777" w:rsidR="009E0BDF" w:rsidRPr="0053744C" w:rsidRDefault="009E0BDF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39433AB1" w14:textId="77777777" w:rsidR="009E0BDF" w:rsidRPr="0053744C" w:rsidRDefault="009E0BDF" w:rsidP="00FA32A3">
            <w:pPr>
              <w:spacing w:line="360" w:lineRule="auto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9E0BDF" w:rsidRPr="0053744C" w14:paraId="77EBAF74" w14:textId="77777777" w:rsidTr="3DE1753A">
        <w:trPr>
          <w:jc w:val="center"/>
        </w:trPr>
        <w:tc>
          <w:tcPr>
            <w:tcW w:w="6870" w:type="dxa"/>
            <w:shd w:val="clear" w:color="auto" w:fill="auto"/>
          </w:tcPr>
          <w:p w14:paraId="2CBC51F4" w14:textId="77777777" w:rsidR="009E0BDF" w:rsidRPr="0053744C" w:rsidRDefault="00C71F06" w:rsidP="00FA32A3">
            <w:pPr>
              <w:numPr>
                <w:ilvl w:val="0"/>
                <w:numId w:val="23"/>
              </w:numPr>
              <w:ind w:left="5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Overview of the factors considered in m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ember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>ssignment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8F7C2C" w:rsidRPr="0053744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ase </w:t>
            </w:r>
            <w:r w:rsidR="008F7C2C" w:rsidRPr="0053744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anager staff </w:t>
            </w:r>
            <w:r w:rsidR="00F9234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(geographic location, specialty caseloads, language, </w:t>
            </w:r>
            <w:r w:rsidR="00BD67E0" w:rsidRPr="0053744C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  <w:r w:rsidR="00F9234F" w:rsidRPr="0053744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8F5A3D" w:rsidRPr="005374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9234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A0BBAE" w14:textId="77777777" w:rsidR="00873114" w:rsidRPr="0053744C" w:rsidRDefault="00873114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44CEB55" w14:textId="77777777" w:rsidR="009E0BDF" w:rsidRPr="0053744C" w:rsidRDefault="009E0BDF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5ED1602" w14:textId="77777777" w:rsidR="009E0BDF" w:rsidRPr="0053744C" w:rsidRDefault="009E0BDF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3724DC7" w14:textId="77777777" w:rsidR="009E0BDF" w:rsidRPr="0053744C" w:rsidRDefault="009E0BDF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731E994A" w14:textId="77777777" w:rsidR="009814D0" w:rsidRPr="0053744C" w:rsidRDefault="009814D0" w:rsidP="00FA32A3">
            <w:pPr>
              <w:spacing w:line="360" w:lineRule="auto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9D28B5" w:rsidRPr="0053744C" w14:paraId="7587BDA7" w14:textId="77777777" w:rsidTr="3DE1753A">
        <w:trPr>
          <w:jc w:val="center"/>
        </w:trPr>
        <w:tc>
          <w:tcPr>
            <w:tcW w:w="6870" w:type="dxa"/>
            <w:shd w:val="clear" w:color="auto" w:fill="auto"/>
          </w:tcPr>
          <w:p w14:paraId="27B6F3D9" w14:textId="3D0D5A46" w:rsidR="009D28B5" w:rsidRPr="0053744C" w:rsidRDefault="00D2140A" w:rsidP="00FA32A3">
            <w:pPr>
              <w:numPr>
                <w:ilvl w:val="0"/>
                <w:numId w:val="23"/>
              </w:numPr>
              <w:ind w:left="5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D28B5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aseload </w:t>
            </w:r>
            <w:r w:rsidR="00C71F06" w:rsidRPr="0053744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anagement – </w:t>
            </w:r>
            <w:r w:rsidR="00C71F06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summary of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how caseload </w:t>
            </w:r>
            <w:r w:rsidR="00F9234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values </w:t>
            </w:r>
            <w:r w:rsidR="00C71F06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F9234F" w:rsidRPr="0053744C">
              <w:rPr>
                <w:rFonts w:asciiTheme="minorHAnsi" w:hAnsiTheme="minorHAnsi" w:cstheme="minorHAnsi"/>
                <w:sz w:val="22"/>
                <w:szCs w:val="22"/>
              </w:rPr>
              <w:t>used</w:t>
            </w:r>
            <w:r w:rsidR="00C71F06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to determine </w:t>
            </w:r>
            <w:r w:rsidR="008F7C2C" w:rsidRPr="0053744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71F06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ase </w:t>
            </w:r>
            <w:r w:rsidR="008F7C2C" w:rsidRPr="0053744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71F06" w:rsidRPr="0053744C">
              <w:rPr>
                <w:rFonts w:asciiTheme="minorHAnsi" w:hAnsiTheme="minorHAnsi" w:cstheme="minorHAnsi"/>
                <w:sz w:val="22"/>
                <w:szCs w:val="22"/>
              </w:rPr>
              <w:t>anager caseloads</w:t>
            </w:r>
            <w:r w:rsidR="00F9234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71F06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description of established </w:t>
            </w:r>
            <w:r w:rsidR="00F9234F" w:rsidRPr="0053744C">
              <w:rPr>
                <w:rFonts w:asciiTheme="minorHAnsi" w:hAnsiTheme="minorHAnsi" w:cstheme="minorHAnsi"/>
                <w:sz w:val="22"/>
                <w:szCs w:val="22"/>
              </w:rPr>
              <w:t>caseload maximums for different caseload</w:t>
            </w:r>
            <w:r w:rsidR="002C5A4A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type</w:t>
            </w:r>
            <w:r w:rsidR="00F9234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9234F" w:rsidRPr="0053744C">
              <w:rPr>
                <w:rFonts w:asciiTheme="minorHAnsi" w:hAnsiTheme="minorHAnsi" w:cstheme="minorHAnsi"/>
                <w:sz w:val="22"/>
                <w:szCs w:val="22"/>
              </w:rPr>
              <w:t>if different than AHCCCS standard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  <w:r w:rsidR="00C71F06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overview of the process for ensuring the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regular review of caseload sizes, etc.</w:t>
            </w:r>
            <w:r w:rsidR="00C46088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including case management caseload ratios for individuals determined to have an SMI</w:t>
            </w:r>
            <w:r w:rsidR="00873114" w:rsidRPr="0053744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30B5854E" w14:textId="77777777" w:rsidR="00873114" w:rsidRPr="0053744C" w:rsidRDefault="00873114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EC7C106" w14:textId="77777777" w:rsidR="009814D0" w:rsidRPr="0053744C" w:rsidRDefault="009814D0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1044EC28" w14:textId="77777777" w:rsidR="009814D0" w:rsidRPr="0053744C" w:rsidRDefault="009814D0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F24805D" w14:textId="77777777" w:rsidR="009D28B5" w:rsidRPr="0053744C" w:rsidRDefault="009D28B5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765D54B6" w14:textId="77777777" w:rsidR="009D28B5" w:rsidRPr="0053744C" w:rsidRDefault="009D28B5" w:rsidP="00FA32A3">
            <w:pPr>
              <w:spacing w:line="360" w:lineRule="auto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9E0BDF" w:rsidRPr="0053744C" w14:paraId="6A1812BD" w14:textId="77777777" w:rsidTr="3DE1753A">
        <w:trPr>
          <w:jc w:val="center"/>
        </w:trPr>
        <w:tc>
          <w:tcPr>
            <w:tcW w:w="6870" w:type="dxa"/>
            <w:shd w:val="clear" w:color="auto" w:fill="auto"/>
          </w:tcPr>
          <w:p w14:paraId="7383B377" w14:textId="77777777" w:rsidR="009E0BDF" w:rsidRPr="0053744C" w:rsidRDefault="00C71F06" w:rsidP="00FA32A3">
            <w:pPr>
              <w:numPr>
                <w:ilvl w:val="0"/>
                <w:numId w:val="23"/>
              </w:numPr>
              <w:ind w:left="5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Overview of the process used to determine appropriate s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upervisor to </w:t>
            </w:r>
            <w:r w:rsidR="00F9234F" w:rsidRPr="0053744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ase </w:t>
            </w:r>
            <w:r w:rsidR="00F9234F" w:rsidRPr="0053744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anager </w:t>
            </w:r>
            <w:r w:rsidR="00F9234F" w:rsidRPr="0053744C">
              <w:rPr>
                <w:rFonts w:asciiTheme="minorHAnsi" w:hAnsiTheme="minorHAnsi" w:cstheme="minorHAnsi"/>
                <w:sz w:val="22"/>
                <w:szCs w:val="22"/>
              </w:rPr>
              <w:t>ra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>tio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and ongoing process for monitoring adherence to established ratios</w:t>
            </w:r>
            <w:r w:rsidR="008F5A3D" w:rsidRPr="005374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413B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E88C98E" w14:textId="77777777" w:rsidR="00873114" w:rsidRPr="0053744C" w:rsidRDefault="00873114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0A900AA" w14:textId="77777777" w:rsidR="009E0BDF" w:rsidRPr="0053744C" w:rsidRDefault="009E0BDF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E8B3672" w14:textId="77777777" w:rsidR="009E0BDF" w:rsidRPr="0053744C" w:rsidRDefault="009E0BDF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DB4B88F" w14:textId="77777777" w:rsidR="009E0BDF" w:rsidRPr="0053744C" w:rsidRDefault="009E0BDF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49194926" w14:textId="77777777" w:rsidR="009E0BDF" w:rsidRPr="0053744C" w:rsidRDefault="009E0BDF" w:rsidP="00FA32A3">
            <w:pPr>
              <w:spacing w:line="36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E0BDF" w:rsidRPr="0053744C" w14:paraId="70435FC9" w14:textId="77777777" w:rsidTr="3DE1753A">
        <w:trPr>
          <w:cantSplit/>
          <w:jc w:val="center"/>
        </w:trPr>
        <w:tc>
          <w:tcPr>
            <w:tcW w:w="6870" w:type="dxa"/>
          </w:tcPr>
          <w:p w14:paraId="3893D7FE" w14:textId="444CFB55" w:rsidR="009E0BDF" w:rsidRPr="0053744C" w:rsidRDefault="00C71F06" w:rsidP="00FA32A3">
            <w:pPr>
              <w:numPr>
                <w:ilvl w:val="0"/>
                <w:numId w:val="23"/>
              </w:numPr>
              <w:ind w:left="5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Description of o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rientation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and initial training offered to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new case managers</w:t>
            </w:r>
            <w:r w:rsidR="004037A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, (including training offered or mandated by the Contractor in addition to the training requirements </w:t>
            </w:r>
            <w:r w:rsidR="006C6B73" w:rsidRPr="0053744C">
              <w:rPr>
                <w:rFonts w:asciiTheme="minorHAnsi" w:hAnsiTheme="minorHAnsi" w:cstheme="minorHAnsi"/>
                <w:sz w:val="22"/>
                <w:szCs w:val="22"/>
              </w:rPr>
              <w:t>specified</w:t>
            </w:r>
            <w:r w:rsidR="004037A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in AMPM Policy 1630)</w:t>
            </w:r>
            <w:r w:rsidR="008F5A3D" w:rsidRPr="005374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AD2045E" w14:textId="77777777" w:rsidR="00873114" w:rsidRPr="0053744C" w:rsidRDefault="00873114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05FE3C81" w14:textId="77777777" w:rsidR="009E0BDF" w:rsidRPr="0053744C" w:rsidRDefault="009E0BDF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563D6BE" w14:textId="77777777" w:rsidR="009E0BDF" w:rsidRPr="0053744C" w:rsidRDefault="009E0BDF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231DB23" w14:textId="77777777" w:rsidR="009E0BDF" w:rsidRPr="0053744C" w:rsidRDefault="009E0BDF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2DB0BCAF" w14:textId="77777777" w:rsidR="0037544C" w:rsidRPr="0053744C" w:rsidRDefault="0037544C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0BDF" w:rsidRPr="0053744C" w14:paraId="489D5AB3" w14:textId="77777777" w:rsidTr="3DE1753A">
        <w:trPr>
          <w:jc w:val="center"/>
        </w:trPr>
        <w:tc>
          <w:tcPr>
            <w:tcW w:w="6870" w:type="dxa"/>
          </w:tcPr>
          <w:p w14:paraId="63BE9688" w14:textId="5D41B549" w:rsidR="009E0BDF" w:rsidRPr="0053744C" w:rsidRDefault="00C71F06" w:rsidP="00FA32A3">
            <w:pPr>
              <w:numPr>
                <w:ilvl w:val="0"/>
                <w:numId w:val="23"/>
              </w:numPr>
              <w:ind w:left="5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Description of o</w:t>
            </w:r>
            <w:r w:rsidR="00D2140A" w:rsidRPr="0053744C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>-going training/educational opportunities for established case managers, including remedial orientation as needed/</w:t>
            </w:r>
            <w:r w:rsidR="008113E2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>indicate</w:t>
            </w:r>
            <w:r w:rsidR="00F32D9B" w:rsidRPr="0053744C">
              <w:rPr>
                <w:rFonts w:asciiTheme="minorHAnsi" w:hAnsiTheme="minorHAnsi" w:cstheme="minorHAnsi"/>
                <w:sz w:val="22"/>
                <w:szCs w:val="22"/>
              </w:rPr>
              <w:t>d, and summary of</w:t>
            </w:r>
            <w:r w:rsidR="009D28B5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other m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>odes of training</w:t>
            </w:r>
            <w:r w:rsidR="00F9234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2D9B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outside of </w:t>
            </w:r>
            <w:r w:rsidR="00F9234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formal </w:t>
            </w:r>
            <w:r w:rsidR="00F32D9B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face-to-face </w:t>
            </w:r>
            <w:r w:rsidR="00F9234F" w:rsidRPr="0053744C">
              <w:rPr>
                <w:rFonts w:asciiTheme="minorHAnsi" w:hAnsiTheme="minorHAnsi" w:cstheme="minorHAnsi"/>
                <w:sz w:val="22"/>
                <w:szCs w:val="22"/>
              </w:rPr>
              <w:t>training sessions</w:t>
            </w:r>
            <w:r w:rsidR="009D28B5" w:rsidRPr="0053744C">
              <w:rPr>
                <w:rFonts w:asciiTheme="minorHAnsi" w:hAnsiTheme="minorHAnsi" w:cstheme="minorHAnsi"/>
                <w:sz w:val="22"/>
                <w:szCs w:val="22"/>
              </w:rPr>
              <w:t>, including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team</w:t>
            </w:r>
            <w:r w:rsidR="009D28B5" w:rsidRPr="0053744C">
              <w:rPr>
                <w:rFonts w:asciiTheme="minorHAnsi" w:hAnsiTheme="minorHAnsi" w:cstheme="minorHAnsi"/>
                <w:sz w:val="22"/>
                <w:szCs w:val="22"/>
              </w:rPr>
              <w:t>/unit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meetings, new</w:t>
            </w:r>
            <w:r w:rsidR="009D28B5" w:rsidRPr="0053744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>letter</w:t>
            </w:r>
            <w:r w:rsidR="009D28B5" w:rsidRPr="0053744C">
              <w:rPr>
                <w:rFonts w:asciiTheme="minorHAnsi" w:hAnsiTheme="minorHAnsi" w:cstheme="minorHAnsi"/>
                <w:sz w:val="22"/>
                <w:szCs w:val="22"/>
              </w:rPr>
              <w:t>s,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234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online training, </w:t>
            </w:r>
            <w:r w:rsidR="009E0BDF" w:rsidRPr="0053744C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r w:rsidR="004E79F8" w:rsidRPr="005374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037AF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6088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(including trainings offered or mandated by the Contractor in addition to the training requirements </w:t>
            </w:r>
            <w:r w:rsidR="006C6B73" w:rsidRPr="0053744C">
              <w:rPr>
                <w:rFonts w:asciiTheme="minorHAnsi" w:hAnsiTheme="minorHAnsi" w:cstheme="minorHAnsi"/>
                <w:sz w:val="22"/>
                <w:szCs w:val="22"/>
              </w:rPr>
              <w:t>specified</w:t>
            </w:r>
            <w:r w:rsidR="00C46088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in AMPM Policy 1630)</w:t>
            </w:r>
            <w:r w:rsidR="00873114" w:rsidRPr="005374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A1CAA1" w14:textId="77777777" w:rsidR="00873114" w:rsidRPr="0053744C" w:rsidRDefault="00873114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56E7598E" w14:textId="77777777" w:rsidR="00893193" w:rsidRPr="0053744C" w:rsidRDefault="0089319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46378FA" w14:textId="77777777" w:rsidR="00893193" w:rsidRPr="0053744C" w:rsidRDefault="0089319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724C0DF" w14:textId="77777777" w:rsidR="009E0BDF" w:rsidRPr="0053744C" w:rsidRDefault="009E0BDF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580811BD" w14:textId="77777777" w:rsidR="00A44683" w:rsidRPr="0053744C" w:rsidRDefault="00A44683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269F" w:rsidRPr="0053744C" w14:paraId="4E71D3AD" w14:textId="77777777" w:rsidTr="3DE1753A">
        <w:trPr>
          <w:trHeight w:val="828"/>
          <w:jc w:val="center"/>
        </w:trPr>
        <w:tc>
          <w:tcPr>
            <w:tcW w:w="6870" w:type="dxa"/>
          </w:tcPr>
          <w:p w14:paraId="57AD531A" w14:textId="55590C3B" w:rsidR="00D2269F" w:rsidRPr="0053744C" w:rsidRDefault="00D2269F" w:rsidP="00FA32A3">
            <w:pPr>
              <w:numPr>
                <w:ilvl w:val="0"/>
                <w:numId w:val="23"/>
              </w:numPr>
              <w:ind w:left="5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Overview of the quarterly case file audit process used to evaluate compliance with </w:t>
            </w:r>
            <w:r w:rsidR="008F7C2C" w:rsidRPr="0053744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ase </w:t>
            </w:r>
            <w:r w:rsidR="008F7C2C" w:rsidRPr="0053744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anager standards and </w:t>
            </w:r>
            <w:r w:rsidR="004E79F8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outline of </w:t>
            </w:r>
            <w:r w:rsidR="004E79F8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process for implementing corrective action when necessary</w:t>
            </w:r>
            <w:r w:rsidR="00504CD9">
              <w:rPr>
                <w:rFonts w:asciiTheme="minorHAnsi" w:hAnsiTheme="minorHAnsi" w:cstheme="minorHAnsi"/>
                <w:sz w:val="22"/>
                <w:szCs w:val="22"/>
              </w:rPr>
              <w:t>, including</w:t>
            </w:r>
            <w:r w:rsidR="0037072D">
              <w:rPr>
                <w:rFonts w:asciiTheme="minorHAnsi" w:hAnsiTheme="minorHAnsi" w:cstheme="minorHAnsi"/>
                <w:sz w:val="22"/>
                <w:szCs w:val="22"/>
              </w:rPr>
              <w:t xml:space="preserve"> requ</w:t>
            </w:r>
            <w:r w:rsidR="0040017C">
              <w:rPr>
                <w:rFonts w:asciiTheme="minorHAnsi" w:hAnsiTheme="minorHAnsi" w:cstheme="minorHAnsi"/>
                <w:sz w:val="22"/>
                <w:szCs w:val="22"/>
              </w:rPr>
              <w:t xml:space="preserve">irements as </w:t>
            </w:r>
            <w:r w:rsidR="00CE4E1B">
              <w:rPr>
                <w:rFonts w:asciiTheme="minorHAnsi" w:hAnsiTheme="minorHAnsi" w:cstheme="minorHAnsi"/>
                <w:sz w:val="22"/>
                <w:szCs w:val="22"/>
              </w:rPr>
              <w:t>specified</w:t>
            </w:r>
            <w:r w:rsidR="0040017C">
              <w:rPr>
                <w:rFonts w:asciiTheme="minorHAnsi" w:hAnsiTheme="minorHAnsi" w:cstheme="minorHAnsi"/>
                <w:sz w:val="22"/>
                <w:szCs w:val="22"/>
              </w:rPr>
              <w:t xml:space="preserve"> in AMPM Policy 1630</w:t>
            </w:r>
            <w:r w:rsidR="008F5A3D" w:rsidRPr="005374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F59F0A0" w14:textId="77777777" w:rsidR="00873114" w:rsidRPr="0053744C" w:rsidRDefault="00873114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2870FE59" w14:textId="77777777" w:rsidR="00893193" w:rsidRPr="0053744C" w:rsidRDefault="0089319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1DA561B" w14:textId="77777777" w:rsidR="00893193" w:rsidRPr="0053744C" w:rsidRDefault="0089319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025FF03" w14:textId="77777777" w:rsidR="00D2269F" w:rsidRPr="0053744C" w:rsidRDefault="00D2269F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4CB4C837" w14:textId="77777777" w:rsidR="00077674" w:rsidRPr="0053744C" w:rsidRDefault="00077674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E69F0" w:rsidRPr="0053744C" w14:paraId="7E8284A5" w14:textId="77777777" w:rsidTr="3DE1753A">
        <w:trPr>
          <w:trHeight w:val="530"/>
          <w:jc w:val="center"/>
        </w:trPr>
        <w:tc>
          <w:tcPr>
            <w:tcW w:w="6870" w:type="dxa"/>
          </w:tcPr>
          <w:p w14:paraId="7FD27912" w14:textId="77777777" w:rsidR="00FE69F0" w:rsidRPr="0053744C" w:rsidRDefault="00FE69F0" w:rsidP="00FA32A3">
            <w:pPr>
              <w:numPr>
                <w:ilvl w:val="0"/>
                <w:numId w:val="23"/>
              </w:numPr>
              <w:ind w:left="5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Description of quarterly inter-rater reliability review process and outline of process for implementing corrective action when necessary</w:t>
            </w:r>
            <w:r w:rsidR="008F5A3D" w:rsidRPr="005374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87BB6F4" w14:textId="77777777" w:rsidR="00873114" w:rsidRPr="0053744C" w:rsidRDefault="00873114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4D267B97" w14:textId="77777777" w:rsidR="00077674" w:rsidRPr="0053744C" w:rsidRDefault="00077674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8603E99" w14:textId="77777777" w:rsidR="00077674" w:rsidRPr="0053744C" w:rsidRDefault="00077674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F4E5F40" w14:textId="77777777" w:rsidR="00FE69F0" w:rsidRPr="0053744C" w:rsidRDefault="00FE69F0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7CA91B20" w14:textId="77777777" w:rsidR="00FE69F0" w:rsidRPr="0053744C" w:rsidRDefault="00FE69F0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6088" w:rsidRPr="0053744C" w14:paraId="69DCAE48" w14:textId="77777777" w:rsidTr="3DE1753A">
        <w:trPr>
          <w:trHeight w:val="899"/>
          <w:jc w:val="center"/>
        </w:trPr>
        <w:tc>
          <w:tcPr>
            <w:tcW w:w="6870" w:type="dxa"/>
          </w:tcPr>
          <w:p w14:paraId="7027AF0A" w14:textId="77777777" w:rsidR="0038344C" w:rsidRPr="0053744C" w:rsidRDefault="00AB10DC" w:rsidP="00FA32A3">
            <w:pPr>
              <w:numPr>
                <w:ilvl w:val="0"/>
                <w:numId w:val="23"/>
              </w:num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Descri</w:t>
            </w:r>
            <w:r w:rsidR="002C1E7F" w:rsidRPr="0053744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tion </w:t>
            </w:r>
            <w:r w:rsidR="004E79F8" w:rsidRPr="0053744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Contractor</w:t>
            </w:r>
            <w:r w:rsidR="004E79F8" w:rsidRPr="0053744C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s process for tracking on-site visit</w:t>
            </w:r>
            <w:r w:rsidR="008E7CD7" w:rsidRPr="0053744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for members enrolled during a hospital stay, including discharge planning</w:t>
            </w:r>
            <w:r w:rsidR="008E7CD7" w:rsidRPr="005374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7311A3" w14:textId="77777777" w:rsidR="0038344C" w:rsidRPr="0053744C" w:rsidRDefault="0038344C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02786F90" w14:textId="77777777" w:rsidR="00C46088" w:rsidRPr="0053744C" w:rsidRDefault="00C46088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15C9684" w14:textId="77777777" w:rsidR="00C46088" w:rsidRPr="0053744C" w:rsidRDefault="00C46088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807306E" w14:textId="77777777" w:rsidR="00C46088" w:rsidRPr="0053744C" w:rsidRDefault="00C46088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06D9BAB7" w14:textId="77777777" w:rsidR="00C46088" w:rsidRPr="0053744C" w:rsidRDefault="00C46088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3281" w:rsidRPr="0053744C" w14:paraId="7D754845" w14:textId="77777777" w:rsidTr="3DE1753A">
        <w:trPr>
          <w:cantSplit/>
          <w:trHeight w:val="530"/>
          <w:jc w:val="center"/>
        </w:trPr>
        <w:tc>
          <w:tcPr>
            <w:tcW w:w="6870" w:type="dxa"/>
          </w:tcPr>
          <w:p w14:paraId="5216FC03" w14:textId="021D7655" w:rsidR="00BF3281" w:rsidRPr="0053744C" w:rsidRDefault="004062E5" w:rsidP="00FA32A3">
            <w:pPr>
              <w:numPr>
                <w:ilvl w:val="0"/>
                <w:numId w:val="23"/>
              </w:num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Contractor has policies and procedures for the authorization and provision of services for existing members, </w:t>
            </w:r>
            <w:r w:rsidR="0038344C" w:rsidRPr="0053744C">
              <w:rPr>
                <w:rFonts w:asciiTheme="minorHAnsi" w:hAnsiTheme="minorHAnsi" w:cstheme="minorHAnsi"/>
                <w:sz w:val="22"/>
                <w:szCs w:val="22"/>
              </w:rPr>
              <w:t>specified</w:t>
            </w:r>
            <w:r w:rsidR="005D145E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in AMPM Policy 1620-D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which includes a standardized system for verifying and documenting the delivery of services with the member/</w:t>
            </w:r>
            <w:r w:rsidR="00ED0464" w:rsidRPr="0053744C">
              <w:rPr>
                <w:rFonts w:asciiTheme="minorHAnsi" w:hAnsiTheme="minorHAnsi" w:cstheme="minorHAnsi"/>
                <w:sz w:val="22"/>
                <w:szCs w:val="22"/>
              </w:rPr>
              <w:t>Health Care Decision Maker</w:t>
            </w:r>
            <w:r w:rsidR="001A1B69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4F65" w:rsidRPr="0053744C">
              <w:rPr>
                <w:rFonts w:asciiTheme="minorHAnsi" w:hAnsiTheme="minorHAnsi" w:cstheme="minorHAnsi"/>
                <w:sz w:val="22"/>
                <w:szCs w:val="22"/>
              </w:rPr>
              <w:t>(HCDM)</w:t>
            </w:r>
            <w:r w:rsidR="00137064" w:rsidRPr="0053744C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4F65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after authorization. </w:t>
            </w:r>
          </w:p>
          <w:p w14:paraId="56CEE298" w14:textId="77777777" w:rsidR="0038344C" w:rsidRPr="0053744C" w:rsidRDefault="0038344C" w:rsidP="00FA32A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59D7C373" w14:textId="77777777" w:rsidR="00BF3281" w:rsidRPr="0053744C" w:rsidRDefault="00BF3281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571F1A3" w14:textId="77777777" w:rsidR="00BF3281" w:rsidRPr="0053744C" w:rsidRDefault="00BF3281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F4FD268" w14:textId="77777777" w:rsidR="00BF3281" w:rsidRPr="0053744C" w:rsidRDefault="00BF3281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7447B19A" w14:textId="77777777" w:rsidR="00BF3281" w:rsidRPr="0053744C" w:rsidRDefault="00BF3281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079" w:rsidRPr="0053744C" w14:paraId="5FF90A01" w14:textId="77777777" w:rsidTr="3DE1753A">
        <w:trPr>
          <w:trHeight w:val="530"/>
          <w:jc w:val="center"/>
        </w:trPr>
        <w:tc>
          <w:tcPr>
            <w:tcW w:w="6870" w:type="dxa"/>
          </w:tcPr>
          <w:p w14:paraId="35C26DF5" w14:textId="2B0FD402" w:rsidR="00873114" w:rsidRPr="0053744C" w:rsidRDefault="008D1079" w:rsidP="001E0DAB">
            <w:pPr>
              <w:numPr>
                <w:ilvl w:val="0"/>
                <w:numId w:val="23"/>
              </w:num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Description of how the Contractor tracks and monitors compliance </w:t>
            </w:r>
            <w:r w:rsidR="005368C0" w:rsidRPr="0053744C">
              <w:rPr>
                <w:rFonts w:asciiTheme="minorHAnsi" w:hAnsiTheme="minorHAnsi" w:cstheme="minorHAnsi"/>
                <w:sz w:val="22"/>
                <w:szCs w:val="22"/>
              </w:rPr>
              <w:t>with regards to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the provision of services to members within the </w:t>
            </w:r>
            <w:r w:rsidR="005368C0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required timeframes, as </w:t>
            </w:r>
            <w:r w:rsidR="006C6B73" w:rsidRPr="0053744C">
              <w:rPr>
                <w:rFonts w:asciiTheme="minorHAnsi" w:hAnsiTheme="minorHAnsi" w:cstheme="minorHAnsi"/>
                <w:sz w:val="22"/>
                <w:szCs w:val="22"/>
              </w:rPr>
              <w:t>specified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in AMPM Policy 1620-D.</w:t>
            </w:r>
          </w:p>
        </w:tc>
        <w:tc>
          <w:tcPr>
            <w:tcW w:w="1072" w:type="dxa"/>
            <w:vAlign w:val="center"/>
          </w:tcPr>
          <w:p w14:paraId="7F0117C8" w14:textId="77777777" w:rsidR="008D1079" w:rsidRPr="0053744C" w:rsidRDefault="008D1079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7FA544E" w14:textId="77777777" w:rsidR="008D1079" w:rsidRPr="0053744C" w:rsidRDefault="008D1079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9812FE5" w14:textId="77777777" w:rsidR="008D1079" w:rsidRPr="0053744C" w:rsidRDefault="008D1079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3C172BD3" w14:textId="77777777" w:rsidR="008D1079" w:rsidRPr="0053744C" w:rsidRDefault="008D1079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1587" w:rsidRPr="0053744C" w14:paraId="443A3DF4" w14:textId="77777777" w:rsidTr="3DE1753A">
        <w:trPr>
          <w:trHeight w:val="791"/>
          <w:jc w:val="center"/>
        </w:trPr>
        <w:tc>
          <w:tcPr>
            <w:tcW w:w="6870" w:type="dxa"/>
          </w:tcPr>
          <w:p w14:paraId="33FFF265" w14:textId="4AC9BEDD" w:rsidR="00111587" w:rsidRDefault="005A2B13" w:rsidP="00FA32A3">
            <w:pPr>
              <w:numPr>
                <w:ilvl w:val="0"/>
                <w:numId w:val="23"/>
              </w:num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Overview of</w:t>
            </w:r>
            <w:r w:rsidRPr="00A34B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6FD1">
              <w:rPr>
                <w:rFonts w:asciiTheme="minorHAnsi" w:hAnsiTheme="minorHAnsi" w:cstheme="minorHAnsi"/>
                <w:sz w:val="22"/>
                <w:szCs w:val="22"/>
              </w:rPr>
              <w:t xml:space="preserve">case </w:t>
            </w:r>
            <w:r w:rsidR="00E35E20"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  <w:r w:rsidR="00E35E20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activities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related to monitoring and/or improving practices to ensure member placement in the most integrated setting</w:t>
            </w:r>
            <w:r w:rsidR="006E2F08" w:rsidRPr="005374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A3F907D" w14:textId="5740727A" w:rsidR="005B5D28" w:rsidRPr="0053744C" w:rsidRDefault="005B5D28" w:rsidP="005B5D28">
            <w:p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4396BCA3" w14:textId="77777777" w:rsidR="00111587" w:rsidRPr="0053744C" w:rsidRDefault="00111587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8CFA005" w14:textId="77777777" w:rsidR="00111587" w:rsidRPr="0053744C" w:rsidRDefault="00111587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03A9B63" w14:textId="77777777" w:rsidR="00111587" w:rsidRPr="0053744C" w:rsidRDefault="00111587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0367E7F4" w14:textId="77777777" w:rsidR="00111587" w:rsidRPr="0053744C" w:rsidRDefault="00111587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2B13" w:rsidRPr="0053744C" w14:paraId="40A67588" w14:textId="77777777" w:rsidTr="3DE1753A">
        <w:trPr>
          <w:trHeight w:val="530"/>
          <w:jc w:val="center"/>
        </w:trPr>
        <w:tc>
          <w:tcPr>
            <w:tcW w:w="6870" w:type="dxa"/>
          </w:tcPr>
          <w:p w14:paraId="096789F8" w14:textId="2BDDD3D7" w:rsidR="005A2B13" w:rsidRPr="0053744C" w:rsidRDefault="005A2B13" w:rsidP="00FA32A3">
            <w:pPr>
              <w:numPr>
                <w:ilvl w:val="0"/>
                <w:numId w:val="23"/>
              </w:num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Contractor's process for assisting members in accessing behavioral health services, including </w:t>
            </w:r>
            <w:r w:rsidR="00E35E20" w:rsidRPr="0053744C">
              <w:rPr>
                <w:rFonts w:asciiTheme="minorHAnsi" w:hAnsiTheme="minorHAnsi" w:cstheme="minorHAnsi"/>
                <w:sz w:val="22"/>
                <w:szCs w:val="22"/>
              </w:rPr>
              <w:t>non-Title XIX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services for Title XIX ALTCS E/PD members with an SMI designation. </w:t>
            </w:r>
          </w:p>
          <w:p w14:paraId="642497C7" w14:textId="77777777" w:rsidR="005A2B13" w:rsidRPr="0053744C" w:rsidRDefault="005A2B13" w:rsidP="00FA32A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ADF9F55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FF06B41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54F5B54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306F80A1" w14:textId="77777777" w:rsidR="005A2B13" w:rsidRPr="0053744C" w:rsidRDefault="005A2B13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2B13" w:rsidRPr="0053744C" w14:paraId="616CE737" w14:textId="77777777" w:rsidTr="3DE1753A">
        <w:trPr>
          <w:trHeight w:val="530"/>
          <w:jc w:val="center"/>
        </w:trPr>
        <w:tc>
          <w:tcPr>
            <w:tcW w:w="6870" w:type="dxa"/>
          </w:tcPr>
          <w:p w14:paraId="4CF7C277" w14:textId="309C0C2E" w:rsidR="0012447A" w:rsidRPr="0053744C" w:rsidRDefault="005A2B13" w:rsidP="00FA32A3">
            <w:pPr>
              <w:numPr>
                <w:ilvl w:val="0"/>
                <w:numId w:val="23"/>
              </w:num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Overview of</w:t>
            </w:r>
            <w:r w:rsidR="00AB54CB" w:rsidRPr="00A34B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6FD1">
              <w:rPr>
                <w:rFonts w:asciiTheme="minorHAnsi" w:hAnsiTheme="minorHAnsi" w:cstheme="minorHAnsi"/>
                <w:sz w:val="22"/>
                <w:szCs w:val="22"/>
              </w:rPr>
              <w:t xml:space="preserve">case </w:t>
            </w:r>
            <w:r w:rsidR="00E35E20"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  <w:r w:rsidR="00E35E20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activities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related to monitoring and improving practices to ensure members are assessed/reassessed for the need of Special Assistance prior to or during the </w:t>
            </w:r>
            <w:r w:rsidR="006F3D21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Person-Centered Service Plan (PCSP)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process, inpatient discharge planning process and the SMI appeal and grievance processes in compliance with AMPM </w:t>
            </w:r>
            <w:r w:rsidR="008772CE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Policy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  <w:r w:rsidR="00552E49" w:rsidRPr="0053744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14:paraId="57EC23D3" w14:textId="77777777" w:rsidR="00A9688C" w:rsidRPr="0053744C" w:rsidRDefault="00A9688C" w:rsidP="00FA32A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19273244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FC021AA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8D82AC2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77ED308F" w14:textId="77777777" w:rsidR="005A2B13" w:rsidRPr="0053744C" w:rsidRDefault="005A2B13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2B13" w:rsidRPr="0053744C" w14:paraId="3D552B4D" w14:textId="77777777" w:rsidTr="3DE1753A">
        <w:trPr>
          <w:cantSplit/>
          <w:trHeight w:val="530"/>
          <w:jc w:val="center"/>
        </w:trPr>
        <w:tc>
          <w:tcPr>
            <w:tcW w:w="6870" w:type="dxa"/>
          </w:tcPr>
          <w:p w14:paraId="29EF2031" w14:textId="03D4AF04" w:rsidR="005A2B13" w:rsidRPr="0053744C" w:rsidRDefault="005A2B13" w:rsidP="00FA32A3">
            <w:pPr>
              <w:numPr>
                <w:ilvl w:val="0"/>
                <w:numId w:val="23"/>
              </w:num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Overview of</w:t>
            </w:r>
            <w:r w:rsidRPr="00A34B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6FD1">
              <w:rPr>
                <w:rFonts w:asciiTheme="minorHAnsi" w:hAnsiTheme="minorHAnsi" w:cstheme="minorHAnsi"/>
                <w:sz w:val="22"/>
                <w:szCs w:val="22"/>
              </w:rPr>
              <w:t xml:space="preserve">case </w:t>
            </w:r>
            <w:r w:rsidR="00E35E20"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  <w:r w:rsidR="00E35E20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activities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related to monitoring and/or improving practices to ensure members identified as Special assistance have a </w:t>
            </w:r>
            <w:r w:rsidR="00C3772B" w:rsidRPr="0053744C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8772CE" w:rsidRPr="0053744C">
              <w:rPr>
                <w:rFonts w:asciiTheme="minorHAnsi" w:hAnsiTheme="minorHAnsi" w:cstheme="minorHAnsi"/>
                <w:sz w:val="22"/>
                <w:szCs w:val="22"/>
              </w:rPr>
              <w:t>CDM</w:t>
            </w:r>
            <w:r w:rsidR="008E60E8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C3772B" w:rsidRPr="0053744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esignated </w:t>
            </w:r>
            <w:r w:rsidR="00D358BD" w:rsidRPr="0053744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epresentative</w:t>
            </w:r>
            <w:r w:rsidR="00AB54CB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(DR)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available during </w:t>
            </w:r>
            <w:r w:rsidR="00526FB1" w:rsidRPr="0053744C">
              <w:rPr>
                <w:rFonts w:asciiTheme="minorHAnsi" w:hAnsiTheme="minorHAnsi" w:cstheme="minorHAnsi"/>
                <w:sz w:val="22"/>
                <w:szCs w:val="22"/>
              </w:rPr>
              <w:t>PCSP meetings/in-between required PCSP</w:t>
            </w:r>
            <w:r w:rsidR="00294321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meetings (as applicable)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, inpatient discharge planning and the SMI appeal and grievance processes.</w:t>
            </w:r>
          </w:p>
          <w:p w14:paraId="55B2D144" w14:textId="77777777" w:rsidR="005A2B13" w:rsidRPr="0053744C" w:rsidRDefault="005A2B13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4812F2E5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9FD2930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021E2CB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4F063CBE" w14:textId="77777777" w:rsidR="005A2B13" w:rsidRPr="0053744C" w:rsidRDefault="005A2B13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2B13" w:rsidRPr="0053744C" w14:paraId="146273AA" w14:textId="77777777" w:rsidTr="3DE1753A">
        <w:trPr>
          <w:trHeight w:val="530"/>
          <w:jc w:val="center"/>
        </w:trPr>
        <w:tc>
          <w:tcPr>
            <w:tcW w:w="6870" w:type="dxa"/>
          </w:tcPr>
          <w:p w14:paraId="076B007E" w14:textId="77777777" w:rsidR="005A2B13" w:rsidRPr="0053744C" w:rsidRDefault="005A2B13" w:rsidP="00FA32A3">
            <w:pPr>
              <w:numPr>
                <w:ilvl w:val="0"/>
                <w:numId w:val="23"/>
              </w:num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Description of Contractor’s process for conducting inpatient discharge planning for members determined to have an SMI.</w:t>
            </w:r>
          </w:p>
          <w:p w14:paraId="0945FEFA" w14:textId="77777777" w:rsidR="00DA3400" w:rsidRDefault="00DA3400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358C31" w14:textId="77777777" w:rsidR="001E0DAB" w:rsidRDefault="001E0DAB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2946B" w14:textId="77777777" w:rsidR="001E0DAB" w:rsidRDefault="001E0DAB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E9B3F" w14:textId="77777777" w:rsidR="001E0DAB" w:rsidRPr="0053744C" w:rsidRDefault="001E0DAB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8967F93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0A91361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1593626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467F1557" w14:textId="77777777" w:rsidR="005A2B13" w:rsidRPr="0053744C" w:rsidRDefault="005A2B13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2B13" w:rsidRPr="0053744C" w14:paraId="3A2CE9FC" w14:textId="77777777" w:rsidTr="3DE1753A">
        <w:trPr>
          <w:trHeight w:val="530"/>
          <w:jc w:val="center"/>
        </w:trPr>
        <w:tc>
          <w:tcPr>
            <w:tcW w:w="6870" w:type="dxa"/>
          </w:tcPr>
          <w:p w14:paraId="1FFBF80F" w14:textId="6DE453D7" w:rsidR="005A2B13" w:rsidRPr="0053744C" w:rsidRDefault="005A2B13" w:rsidP="00FA32A3">
            <w:pPr>
              <w:numPr>
                <w:ilvl w:val="0"/>
                <w:numId w:val="23"/>
              </w:num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Inter-Departmental Cooperation – description of coordination with other departments, including Quality and Medical Management</w:t>
            </w:r>
            <w:r w:rsidR="00E02C74">
              <w:rPr>
                <w:rFonts w:asciiTheme="minorHAnsi" w:hAnsiTheme="minorHAnsi" w:cstheme="minorHAnsi"/>
                <w:sz w:val="22"/>
                <w:szCs w:val="22"/>
              </w:rPr>
              <w:t xml:space="preserve"> (MM)</w:t>
            </w:r>
            <w:r w:rsidR="00FA517E" w:rsidRPr="00A34BA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A517E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and Customer Service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Departments; outline of the role of </w:t>
            </w:r>
            <w:r w:rsidR="00366FD1">
              <w:rPr>
                <w:rFonts w:asciiTheme="minorHAnsi" w:hAnsiTheme="minorHAnsi" w:cstheme="minorHAnsi"/>
                <w:sz w:val="22"/>
                <w:szCs w:val="22"/>
              </w:rPr>
              <w:t xml:space="preserve">case </w:t>
            </w:r>
            <w:r w:rsidR="00E35E20">
              <w:rPr>
                <w:rFonts w:asciiTheme="minorHAnsi" w:hAnsiTheme="minorHAnsi" w:cstheme="minorHAnsi"/>
                <w:sz w:val="22"/>
                <w:szCs w:val="22"/>
              </w:rPr>
              <w:t xml:space="preserve">management </w:t>
            </w:r>
            <w:r w:rsidR="00E35E20" w:rsidRPr="0053744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data collection, the development of and monitoring of performance measures/indicators and disease management.  </w:t>
            </w:r>
          </w:p>
          <w:p w14:paraId="20680CE0" w14:textId="77777777" w:rsidR="005A2B13" w:rsidRPr="0053744C" w:rsidRDefault="005A2B13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52C2B468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28FDB1E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3D5BF81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2A2074C8" w14:textId="77777777" w:rsidR="005A2B13" w:rsidRPr="0053744C" w:rsidRDefault="005A2B13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2B13" w:rsidRPr="0053744C" w14:paraId="1EF7C8AB" w14:textId="77777777" w:rsidTr="3DE1753A">
        <w:trPr>
          <w:trHeight w:val="530"/>
          <w:jc w:val="center"/>
        </w:trPr>
        <w:tc>
          <w:tcPr>
            <w:tcW w:w="6870" w:type="dxa"/>
          </w:tcPr>
          <w:p w14:paraId="68192D67" w14:textId="2E532177" w:rsidR="005A2B13" w:rsidRPr="0053744C" w:rsidRDefault="005A2B13" w:rsidP="00FA32A3">
            <w:pPr>
              <w:numPr>
                <w:ilvl w:val="0"/>
                <w:numId w:val="23"/>
              </w:num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Description of Contractors efforts to ensure that members determined to </w:t>
            </w:r>
            <w:r w:rsidR="00D804BE">
              <w:rPr>
                <w:rFonts w:asciiTheme="minorHAnsi" w:hAnsiTheme="minorHAnsi" w:cstheme="minorHAnsi"/>
                <w:sz w:val="22"/>
                <w:szCs w:val="22"/>
              </w:rPr>
              <w:t xml:space="preserve">have an </w:t>
            </w:r>
            <w:r w:rsidRPr="00A34BA9">
              <w:rPr>
                <w:rFonts w:asciiTheme="minorHAnsi" w:hAnsiTheme="minorHAnsi" w:cstheme="minorHAnsi"/>
                <w:sz w:val="22"/>
                <w:szCs w:val="22"/>
              </w:rPr>
              <w:t xml:space="preserve">SMI </w:t>
            </w:r>
            <w:r w:rsidR="00D804BE">
              <w:rPr>
                <w:rFonts w:asciiTheme="minorHAnsi" w:hAnsiTheme="minorHAnsi" w:cstheme="minorHAnsi"/>
                <w:sz w:val="22"/>
                <w:szCs w:val="22"/>
              </w:rPr>
              <w:t>designation</w:t>
            </w:r>
            <w:r w:rsidR="00E35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are afforded the right to file a grievance or appeal a decision in compliance with ACOM </w:t>
            </w:r>
            <w:r w:rsidR="008772CE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Policy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444 and 446.</w:t>
            </w:r>
          </w:p>
          <w:p w14:paraId="28EFC5DA" w14:textId="77777777" w:rsidR="005A2B13" w:rsidRPr="0053744C" w:rsidRDefault="005A2B13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1185F239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AAA26C2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C9DC734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5BEFF0DA" w14:textId="77777777" w:rsidR="005A2B13" w:rsidRPr="0053744C" w:rsidRDefault="005A2B13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2B13" w:rsidRPr="0053744C" w14:paraId="0AF131E4" w14:textId="77777777" w:rsidTr="3DE1753A">
        <w:trPr>
          <w:cantSplit/>
          <w:trHeight w:val="530"/>
          <w:jc w:val="center"/>
        </w:trPr>
        <w:tc>
          <w:tcPr>
            <w:tcW w:w="6870" w:type="dxa"/>
          </w:tcPr>
          <w:p w14:paraId="22DA0A0F" w14:textId="4637A480" w:rsidR="005A2B13" w:rsidRPr="0053744C" w:rsidRDefault="005A2B13" w:rsidP="00FA32A3">
            <w:pPr>
              <w:numPr>
                <w:ilvl w:val="0"/>
                <w:numId w:val="23"/>
              </w:num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Description of how the Contractor’s </w:t>
            </w:r>
            <w:r w:rsidR="008F7C2C" w:rsidRPr="0053744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ase </w:t>
            </w:r>
            <w:r w:rsidR="008F7C2C" w:rsidRPr="0053744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anagers are incorporating the Arizona Disability Benefits 101 (DB101) resource tool into </w:t>
            </w:r>
            <w:r w:rsidR="00B36EB0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PCSP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discussions with members, including how they are educating members about DB101.  </w:t>
            </w:r>
          </w:p>
          <w:p w14:paraId="21C0B54C" w14:textId="77777777" w:rsidR="002D70B1" w:rsidRPr="0053744C" w:rsidRDefault="002D70B1" w:rsidP="002D70B1">
            <w:p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8F7E1E6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8A224B9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F67A3E6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26078E77" w14:textId="77777777" w:rsidR="005A2B13" w:rsidRPr="0053744C" w:rsidRDefault="005A2B13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2B13" w:rsidRPr="0053744C" w14:paraId="0F5E7992" w14:textId="77777777" w:rsidTr="3DE1753A">
        <w:trPr>
          <w:cantSplit/>
          <w:trHeight w:val="530"/>
          <w:jc w:val="center"/>
        </w:trPr>
        <w:tc>
          <w:tcPr>
            <w:tcW w:w="6870" w:type="dxa"/>
          </w:tcPr>
          <w:p w14:paraId="6213B651" w14:textId="5752ADA6" w:rsidR="0012447A" w:rsidRPr="0053744C" w:rsidRDefault="005A2B13" w:rsidP="00FA32A3">
            <w:pPr>
              <w:numPr>
                <w:ilvl w:val="0"/>
                <w:numId w:val="23"/>
              </w:num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Overview of</w:t>
            </w:r>
            <w:r w:rsidRPr="00A34B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6FD1">
              <w:rPr>
                <w:rFonts w:asciiTheme="minorHAnsi" w:hAnsiTheme="minorHAnsi" w:cstheme="minorHAnsi"/>
                <w:sz w:val="22"/>
                <w:szCs w:val="22"/>
              </w:rPr>
              <w:t xml:space="preserve">case </w:t>
            </w:r>
            <w:r w:rsidR="00E35E20"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  <w:r w:rsidR="00E35E20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Department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involvement in community initiatives/activities in geographic service areas related to populations served</w:t>
            </w:r>
            <w:r w:rsidR="00BF23E2" w:rsidRPr="0053744C">
              <w:rPr>
                <w:rFonts w:asciiTheme="minorHAnsi" w:hAnsiTheme="minorHAnsi" w:cstheme="minorHAnsi"/>
                <w:sz w:val="22"/>
                <w:szCs w:val="22"/>
              </w:rPr>
              <w:t>, including status updates on any ongoing/continued initiatives/activities identified in the previous Contract year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04FA4A" w14:textId="77777777" w:rsidR="00233025" w:rsidRDefault="00233025" w:rsidP="00FA32A3">
            <w:p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82B37" w14:textId="77777777" w:rsidR="005A7893" w:rsidRDefault="005A7893" w:rsidP="00FA32A3">
            <w:p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3E1727" w14:textId="77777777" w:rsidR="005A7893" w:rsidRDefault="005A7893" w:rsidP="00FA32A3">
            <w:p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61980F" w14:textId="77777777" w:rsidR="005A7893" w:rsidRDefault="005A7893" w:rsidP="00FA32A3">
            <w:p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76741" w14:textId="77777777" w:rsidR="005A7893" w:rsidRDefault="005A7893" w:rsidP="00FA32A3">
            <w:p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C5CAB7" w14:textId="77777777" w:rsidR="005A7893" w:rsidRDefault="005A7893" w:rsidP="007633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62E00" w14:textId="77777777" w:rsidR="005A7893" w:rsidRPr="0053744C" w:rsidRDefault="005A7893" w:rsidP="00FA32A3">
            <w:p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045F710C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C8091EE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B6B369F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6B1B3F76" w14:textId="77777777" w:rsidR="005A2B13" w:rsidRPr="0053744C" w:rsidRDefault="005A2B13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2B13" w:rsidRPr="0053744C" w14:paraId="55BFD52D" w14:textId="77777777" w:rsidTr="3DE1753A">
        <w:trPr>
          <w:trHeight w:val="530"/>
          <w:jc w:val="center"/>
        </w:trPr>
        <w:tc>
          <w:tcPr>
            <w:tcW w:w="6870" w:type="dxa"/>
          </w:tcPr>
          <w:p w14:paraId="366A9880" w14:textId="132A80D5" w:rsidR="005A2B13" w:rsidRPr="0053744C" w:rsidRDefault="005A2B13" w:rsidP="00FA32A3">
            <w:pPr>
              <w:numPr>
                <w:ilvl w:val="0"/>
                <w:numId w:val="23"/>
              </w:num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Description of the process used in evaluating net cost of institutional care, which must include the calculation of institutional costs stratified for levels of care and specialized needs, annual re-assessment and adjustment of the institutional rates based upon changes in costs associated with the assessed levels of care and specialized needs, and  implementation of processes consistent</w:t>
            </w:r>
            <w:r w:rsidR="00A26789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with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AHCCCS policy, for determination and evaluation of </w:t>
            </w:r>
            <w:r w:rsidR="00B834EC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2E2C4F" w:rsidRPr="0053744C">
              <w:rPr>
                <w:rFonts w:asciiTheme="minorHAnsi" w:hAnsiTheme="minorHAnsi" w:cstheme="minorHAnsi"/>
                <w:sz w:val="22"/>
                <w:szCs w:val="22"/>
              </w:rPr>
              <w:t>Cost Effectiveness Study (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CES</w:t>
            </w:r>
            <w:r w:rsidR="002E2C4F" w:rsidRPr="0053744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for each member and processes for resolution of cases where the </w:t>
            </w:r>
            <w:r w:rsidR="006C1F50" w:rsidRPr="0053744C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et </w:t>
            </w:r>
            <w:r w:rsidR="00A84FB5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Home and Community Based </w:t>
            </w:r>
            <w:r w:rsidR="00555E60" w:rsidRPr="0053744C"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  <w:r w:rsidR="00696356" w:rsidRPr="0053744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55E60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4FB5" w:rsidRPr="0053744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HCBS</w:t>
            </w:r>
            <w:r w:rsidR="00A84FB5" w:rsidRPr="0053744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5E60" w:rsidRPr="0053744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ost exceeds the net cost of institutional care.</w:t>
            </w:r>
          </w:p>
          <w:p w14:paraId="326944C3" w14:textId="77777777" w:rsidR="005A2B13" w:rsidRPr="0053744C" w:rsidRDefault="005A2B13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0B7FB3A7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D1BB3BB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ACAF143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06967980" w14:textId="77777777" w:rsidR="005A2B13" w:rsidRPr="0053744C" w:rsidRDefault="005A2B13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6794" w:rsidRPr="00A34BA9" w14:paraId="1B83485D" w14:textId="77777777" w:rsidTr="3DE1753A">
        <w:trPr>
          <w:trHeight w:val="530"/>
          <w:jc w:val="center"/>
        </w:trPr>
        <w:tc>
          <w:tcPr>
            <w:tcW w:w="6870" w:type="dxa"/>
          </w:tcPr>
          <w:p w14:paraId="616FF8FA" w14:textId="34B97AC8" w:rsidR="00156B50" w:rsidRPr="005B5D28" w:rsidRDefault="000C41B0" w:rsidP="007766B9">
            <w:pPr>
              <w:numPr>
                <w:ilvl w:val="0"/>
                <w:numId w:val="23"/>
              </w:num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3DE1753A">
              <w:rPr>
                <w:rFonts w:asciiTheme="minorHAnsi" w:hAnsiTheme="minorHAnsi" w:cstheme="minorBidi"/>
                <w:sz w:val="22"/>
                <w:szCs w:val="22"/>
              </w:rPr>
              <w:t>Description</w:t>
            </w:r>
            <w:r w:rsidR="00E35E7A" w:rsidRPr="3DE1753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DE1753A">
              <w:rPr>
                <w:rFonts w:asciiTheme="minorHAnsi" w:hAnsiTheme="minorHAnsi" w:cstheme="minorBidi"/>
                <w:sz w:val="22"/>
                <w:szCs w:val="22"/>
              </w:rPr>
              <w:t>of h</w:t>
            </w:r>
            <w:r w:rsidR="00E35E7A" w:rsidRPr="3DE1753A">
              <w:rPr>
                <w:rFonts w:asciiTheme="minorHAnsi" w:hAnsiTheme="minorHAnsi" w:cstheme="minorBidi"/>
                <w:sz w:val="22"/>
                <w:szCs w:val="22"/>
              </w:rPr>
              <w:t xml:space="preserve">ow the </w:t>
            </w:r>
            <w:r w:rsidRPr="3DE1753A">
              <w:rPr>
                <w:rFonts w:asciiTheme="minorHAnsi" w:hAnsiTheme="minorHAnsi" w:cstheme="minorBidi"/>
                <w:sz w:val="22"/>
                <w:szCs w:val="22"/>
              </w:rPr>
              <w:t xml:space="preserve">Contractor </w:t>
            </w:r>
            <w:r w:rsidR="00E35E7A" w:rsidRPr="3DE1753A">
              <w:rPr>
                <w:rFonts w:asciiTheme="minorHAnsi" w:hAnsiTheme="minorHAnsi" w:cstheme="minorBidi"/>
                <w:sz w:val="22"/>
                <w:szCs w:val="22"/>
              </w:rPr>
              <w:t>promotes health equity</w:t>
            </w:r>
            <w:r w:rsidR="001C51B5" w:rsidRPr="3DE1753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DA66CF" w:rsidRPr="3DE1753A">
              <w:rPr>
                <w:rFonts w:asciiTheme="minorHAnsi" w:hAnsiTheme="minorHAnsi" w:cstheme="minorBidi"/>
                <w:sz w:val="22"/>
                <w:szCs w:val="22"/>
              </w:rPr>
              <w:t xml:space="preserve">and </w:t>
            </w:r>
            <w:r w:rsidR="003F1D64" w:rsidRPr="3DE1753A">
              <w:rPr>
                <w:rFonts w:asciiTheme="minorHAnsi" w:hAnsiTheme="minorHAnsi" w:cstheme="minorBidi"/>
                <w:sz w:val="22"/>
                <w:szCs w:val="22"/>
              </w:rPr>
              <w:t>efforts</w:t>
            </w:r>
            <w:r w:rsidR="00E35E7A" w:rsidRPr="3DE1753A">
              <w:rPr>
                <w:rFonts w:asciiTheme="minorHAnsi" w:hAnsiTheme="minorHAnsi" w:cstheme="minorBidi"/>
                <w:sz w:val="22"/>
                <w:szCs w:val="22"/>
              </w:rPr>
              <w:t xml:space="preserve"> related to improving health equity of </w:t>
            </w:r>
            <w:r w:rsidR="005E2B5E" w:rsidRPr="3DE1753A">
              <w:rPr>
                <w:rFonts w:asciiTheme="minorHAnsi" w:hAnsiTheme="minorHAnsi" w:cstheme="minorBidi"/>
                <w:sz w:val="22"/>
                <w:szCs w:val="22"/>
              </w:rPr>
              <w:t xml:space="preserve">members, </w:t>
            </w:r>
            <w:r w:rsidR="00E35E7A" w:rsidRPr="3DE1753A">
              <w:rPr>
                <w:rFonts w:asciiTheme="minorHAnsi" w:hAnsiTheme="minorHAnsi" w:cstheme="minorBidi"/>
                <w:sz w:val="22"/>
                <w:szCs w:val="22"/>
              </w:rPr>
              <w:t>includ</w:t>
            </w:r>
            <w:r w:rsidR="0030480B" w:rsidRPr="3DE1753A">
              <w:rPr>
                <w:rFonts w:asciiTheme="minorHAnsi" w:hAnsiTheme="minorHAnsi" w:cstheme="minorBidi"/>
                <w:sz w:val="22"/>
                <w:szCs w:val="22"/>
              </w:rPr>
              <w:t xml:space="preserve">ing actions </w:t>
            </w:r>
            <w:r w:rsidR="00E35E7A" w:rsidRPr="3DE1753A">
              <w:rPr>
                <w:rFonts w:asciiTheme="minorHAnsi" w:hAnsiTheme="minorHAnsi" w:cstheme="minorBidi"/>
                <w:sz w:val="22"/>
                <w:szCs w:val="22"/>
              </w:rPr>
              <w:t>to promote equity in management of individual care</w:t>
            </w:r>
            <w:r w:rsidR="00AB0CBA" w:rsidRPr="3DE1753A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4CDA3C10" w14:textId="257E56A6" w:rsidR="005B5D28" w:rsidRPr="00A34BA9" w:rsidRDefault="005B5D28" w:rsidP="005B5D28">
            <w:p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B3F091A" w14:textId="77777777" w:rsidR="00B86794" w:rsidRPr="00A34BA9" w:rsidRDefault="00B86794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C4D1BBC" w14:textId="77777777" w:rsidR="00B86794" w:rsidRPr="00A34BA9" w:rsidRDefault="00B86794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52DEDB6" w14:textId="77777777" w:rsidR="00B86794" w:rsidRPr="00A34BA9" w:rsidRDefault="00B86794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2E05470B" w14:textId="77777777" w:rsidR="00B86794" w:rsidRPr="00A34BA9" w:rsidRDefault="00B86794" w:rsidP="00E35E7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2B13" w:rsidRPr="0053744C" w14:paraId="01D50999" w14:textId="77777777" w:rsidTr="3DE1753A">
        <w:trPr>
          <w:trHeight w:val="530"/>
          <w:jc w:val="center"/>
        </w:trPr>
        <w:tc>
          <w:tcPr>
            <w:tcW w:w="6870" w:type="dxa"/>
          </w:tcPr>
          <w:p w14:paraId="3B620999" w14:textId="01DC7CFE" w:rsidR="005A2B13" w:rsidRPr="0053744C" w:rsidRDefault="005A2B13" w:rsidP="00FA32A3">
            <w:pPr>
              <w:numPr>
                <w:ilvl w:val="0"/>
                <w:numId w:val="23"/>
              </w:num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Description of other special projects/initiatives within the organization that the </w:t>
            </w:r>
            <w:r w:rsidR="00366FD1">
              <w:rPr>
                <w:rFonts w:asciiTheme="minorHAnsi" w:hAnsiTheme="minorHAnsi" w:cstheme="minorHAnsi"/>
                <w:sz w:val="22"/>
                <w:szCs w:val="22"/>
              </w:rPr>
              <w:t xml:space="preserve">case </w:t>
            </w:r>
            <w:r w:rsidR="00E35E20">
              <w:rPr>
                <w:rFonts w:asciiTheme="minorHAnsi" w:hAnsiTheme="minorHAnsi" w:cstheme="minorHAnsi"/>
                <w:sz w:val="22"/>
                <w:szCs w:val="22"/>
              </w:rPr>
              <w:t xml:space="preserve">management </w:t>
            </w:r>
            <w:r w:rsidR="00E35E20" w:rsidRPr="0053744C">
              <w:rPr>
                <w:rFonts w:asciiTheme="minorHAnsi" w:hAnsiTheme="minorHAnsi" w:cstheme="minorHAnsi"/>
                <w:sz w:val="22"/>
                <w:szCs w:val="22"/>
              </w:rPr>
              <w:t>Department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facilitates or participates in which enhance overall performance of the Department and/or service</w:t>
            </w:r>
            <w:r w:rsidR="00AA6410" w:rsidRPr="0053744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provided to ALTCS members.</w:t>
            </w:r>
          </w:p>
          <w:p w14:paraId="3B16FBCA" w14:textId="77777777" w:rsidR="005A2B13" w:rsidRPr="0053744C" w:rsidRDefault="005A2B13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BC6399D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E9D35F1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02B4CC5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482D02E6" w14:textId="77777777" w:rsidR="005A2B13" w:rsidRPr="0053744C" w:rsidRDefault="005A2B13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2B13" w:rsidRPr="0053744C" w14:paraId="07D857D2" w14:textId="77777777" w:rsidTr="3DE1753A">
        <w:trPr>
          <w:trHeight w:val="530"/>
          <w:jc w:val="center"/>
        </w:trPr>
        <w:tc>
          <w:tcPr>
            <w:tcW w:w="6870" w:type="dxa"/>
          </w:tcPr>
          <w:p w14:paraId="64DDF677" w14:textId="58F0E1FD" w:rsidR="005A2B13" w:rsidRPr="0053744C" w:rsidRDefault="005A2B13" w:rsidP="00FA32A3">
            <w:pPr>
              <w:numPr>
                <w:ilvl w:val="0"/>
                <w:numId w:val="23"/>
              </w:num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Summary of</w:t>
            </w:r>
            <w:r w:rsidRPr="00A34B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6FD1">
              <w:rPr>
                <w:rFonts w:asciiTheme="minorHAnsi" w:hAnsiTheme="minorHAnsi" w:cstheme="minorHAnsi"/>
                <w:sz w:val="22"/>
                <w:szCs w:val="22"/>
              </w:rPr>
              <w:t xml:space="preserve">case </w:t>
            </w:r>
            <w:r w:rsidR="00E35E20"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  <w:r w:rsidR="00E35E20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Plan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, including progress</w:t>
            </w:r>
            <w:r w:rsidR="00B77F44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, efficacy, successes and/or barriers 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related to</w:t>
            </w:r>
            <w:r w:rsidR="00A10037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the Contractor’s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established goals, for previous Contract Year.</w:t>
            </w:r>
          </w:p>
          <w:p w14:paraId="324522CD" w14:textId="77777777" w:rsidR="005A2B13" w:rsidRPr="0053744C" w:rsidRDefault="005A2B13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2154EEB6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2568698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C766430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44EE5FA7" w14:textId="77777777" w:rsidR="005A2B13" w:rsidRPr="0053744C" w:rsidRDefault="005A2B13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2B13" w:rsidRPr="0053744C" w14:paraId="1ADDD4CF" w14:textId="77777777" w:rsidTr="3DE1753A">
        <w:trPr>
          <w:trHeight w:val="530"/>
          <w:jc w:val="center"/>
        </w:trPr>
        <w:tc>
          <w:tcPr>
            <w:tcW w:w="6870" w:type="dxa"/>
          </w:tcPr>
          <w:p w14:paraId="11ADD814" w14:textId="753A595D" w:rsidR="005A2B13" w:rsidRPr="0053744C" w:rsidRDefault="005A2B13" w:rsidP="00FA32A3">
            <w:pPr>
              <w:numPr>
                <w:ilvl w:val="0"/>
                <w:numId w:val="23"/>
              </w:numPr>
              <w:ind w:left="6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Outline of</w:t>
            </w:r>
            <w:r w:rsidRPr="00A34B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6FD1">
              <w:rPr>
                <w:rFonts w:asciiTheme="minorHAnsi" w:hAnsiTheme="minorHAnsi" w:cstheme="minorHAnsi"/>
                <w:sz w:val="22"/>
                <w:szCs w:val="22"/>
              </w:rPr>
              <w:t xml:space="preserve">case </w:t>
            </w:r>
            <w:r w:rsidR="00E35E20"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  <w:r w:rsidR="00E35E20"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Department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 xml:space="preserve"> goals established for next Contract Year</w:t>
            </w:r>
            <w:r w:rsidR="005E0074" w:rsidRPr="0053744C">
              <w:rPr>
                <w:rFonts w:asciiTheme="minorHAnsi" w:hAnsiTheme="minorHAnsi" w:cstheme="minorHAnsi"/>
                <w:sz w:val="22"/>
                <w:szCs w:val="22"/>
              </w:rPr>
              <w:t>, including Contractor’s anticipated outcome and established metrics for performance monitoring</w:t>
            </w:r>
            <w:r w:rsidRPr="005374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472100" w14:textId="77777777" w:rsidR="005A2B13" w:rsidRPr="0053744C" w:rsidRDefault="005A2B13" w:rsidP="00FA32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24C9DD82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F439C44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FCEC6F4" w14:textId="77777777" w:rsidR="005A2B13" w:rsidRPr="0053744C" w:rsidRDefault="005A2B13" w:rsidP="00FA32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  <w:vAlign w:val="center"/>
          </w:tcPr>
          <w:p w14:paraId="0AB34800" w14:textId="77777777" w:rsidR="005A2B13" w:rsidRPr="0053744C" w:rsidRDefault="005A2B13" w:rsidP="00FA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B39D480" w14:textId="77777777" w:rsidR="00460024" w:rsidRPr="0053744C" w:rsidRDefault="00460024" w:rsidP="002E2C4F">
      <w:pPr>
        <w:rPr>
          <w:rFonts w:asciiTheme="minorHAnsi" w:hAnsiTheme="minorHAnsi" w:cstheme="minorHAnsi"/>
          <w:sz w:val="22"/>
          <w:szCs w:val="22"/>
        </w:rPr>
      </w:pPr>
    </w:p>
    <w:sectPr w:rsidR="00460024" w:rsidRPr="0053744C" w:rsidSect="005C041E">
      <w:headerReference w:type="default" r:id="rId12"/>
      <w:footerReference w:type="default" r:id="rId13"/>
      <w:footerReference w:type="first" r:id="rId14"/>
      <w:pgSz w:w="15840" w:h="12240" w:orient="landscape" w:code="1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0584" w14:textId="77777777" w:rsidR="009E4608" w:rsidRDefault="009E4608">
      <w:r>
        <w:separator/>
      </w:r>
    </w:p>
  </w:endnote>
  <w:endnote w:type="continuationSeparator" w:id="0">
    <w:p w14:paraId="64DA6335" w14:textId="77777777" w:rsidR="009E4608" w:rsidRDefault="009E4608">
      <w:r>
        <w:continuationSeparator/>
      </w:r>
    </w:p>
  </w:endnote>
  <w:endnote w:type="continuationNotice" w:id="1">
    <w:p w14:paraId="51E9C663" w14:textId="77777777" w:rsidR="009E4608" w:rsidRDefault="009E4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27E6" w14:textId="2E26E83C" w:rsidR="00903441" w:rsidRPr="00D53EFC" w:rsidRDefault="00903441" w:rsidP="000D49FA">
    <w:pPr>
      <w:pStyle w:val="Footer"/>
      <w:pBdr>
        <w:top w:val="single" w:sz="18" w:space="1" w:color="2F8DCB"/>
      </w:pBdr>
      <w:ind w:right="360"/>
      <w:jc w:val="center"/>
      <w:rPr>
        <w:rFonts w:ascii="Calibri" w:hAnsi="Calibri" w:cs="Calibri"/>
        <w:b/>
        <w:color w:val="2F8DCB"/>
        <w:sz w:val="22"/>
        <w:szCs w:val="22"/>
      </w:rPr>
    </w:pPr>
    <w:r w:rsidRPr="00D53EFC">
      <w:rPr>
        <w:rFonts w:ascii="Calibri" w:hAnsi="Calibri" w:cs="Calibri"/>
        <w:b/>
        <w:color w:val="2F8DCB"/>
        <w:sz w:val="22"/>
        <w:szCs w:val="22"/>
      </w:rPr>
      <w:t>1630</w:t>
    </w:r>
    <w:r w:rsidR="00B924DC" w:rsidRPr="00D53EFC">
      <w:rPr>
        <w:rFonts w:ascii="Calibri" w:hAnsi="Calibri" w:cs="Calibri"/>
        <w:b/>
        <w:color w:val="2F8DCB"/>
        <w:sz w:val="22"/>
        <w:szCs w:val="22"/>
      </w:rPr>
      <w:t xml:space="preserve"> -</w:t>
    </w:r>
    <w:r w:rsidRPr="00D53EFC">
      <w:rPr>
        <w:rFonts w:ascii="Calibri" w:hAnsi="Calibri" w:cs="Calibri"/>
        <w:b/>
        <w:color w:val="2F8DCB"/>
        <w:sz w:val="22"/>
        <w:szCs w:val="22"/>
      </w:rPr>
      <w:t xml:space="preserve"> Attachment A - Page </w:t>
    </w:r>
    <w:r w:rsidRPr="00D53EFC">
      <w:rPr>
        <w:rFonts w:ascii="Calibri" w:hAnsi="Calibri" w:cs="Calibri"/>
        <w:b/>
        <w:color w:val="2F8DCB"/>
        <w:sz w:val="22"/>
        <w:szCs w:val="22"/>
      </w:rPr>
      <w:fldChar w:fldCharType="begin"/>
    </w:r>
    <w:r w:rsidRPr="00D53EFC">
      <w:rPr>
        <w:rFonts w:ascii="Calibri" w:hAnsi="Calibri" w:cs="Calibri"/>
        <w:b/>
        <w:color w:val="2F8DCB"/>
        <w:sz w:val="22"/>
        <w:szCs w:val="22"/>
      </w:rPr>
      <w:instrText xml:space="preserve"> PAGE  \* Arabic  \* MERGEFORMAT </w:instrText>
    </w:r>
    <w:r w:rsidRPr="00D53EFC">
      <w:rPr>
        <w:rFonts w:ascii="Calibri" w:hAnsi="Calibri" w:cs="Calibri"/>
        <w:b/>
        <w:color w:val="2F8DCB"/>
        <w:sz w:val="22"/>
        <w:szCs w:val="22"/>
      </w:rPr>
      <w:fldChar w:fldCharType="separate"/>
    </w:r>
    <w:r w:rsidR="00FA32A3" w:rsidRPr="00D53EFC">
      <w:rPr>
        <w:rFonts w:ascii="Calibri" w:hAnsi="Calibri" w:cs="Calibri"/>
        <w:b/>
        <w:noProof/>
        <w:color w:val="2F8DCB"/>
        <w:sz w:val="22"/>
        <w:szCs w:val="22"/>
      </w:rPr>
      <w:t>1</w:t>
    </w:r>
    <w:r w:rsidRPr="00D53EFC">
      <w:rPr>
        <w:rFonts w:ascii="Calibri" w:hAnsi="Calibri" w:cs="Calibri"/>
        <w:b/>
        <w:color w:val="2F8DCB"/>
        <w:sz w:val="22"/>
        <w:szCs w:val="22"/>
      </w:rPr>
      <w:fldChar w:fldCharType="end"/>
    </w:r>
    <w:r w:rsidRPr="00D53EFC">
      <w:rPr>
        <w:rFonts w:ascii="Calibri" w:hAnsi="Calibri" w:cs="Calibri"/>
        <w:b/>
        <w:color w:val="2F8DCB"/>
        <w:sz w:val="22"/>
        <w:szCs w:val="22"/>
      </w:rPr>
      <w:t xml:space="preserve"> of </w:t>
    </w:r>
    <w:r w:rsidRPr="00D53EFC">
      <w:rPr>
        <w:rFonts w:ascii="Calibri" w:hAnsi="Calibri" w:cs="Calibri"/>
        <w:b/>
        <w:color w:val="2F8DCB"/>
        <w:sz w:val="22"/>
        <w:szCs w:val="22"/>
      </w:rPr>
      <w:fldChar w:fldCharType="begin"/>
    </w:r>
    <w:r w:rsidRPr="00D53EFC">
      <w:rPr>
        <w:rFonts w:ascii="Calibri" w:hAnsi="Calibri" w:cs="Calibri"/>
        <w:b/>
        <w:color w:val="2F8DCB"/>
        <w:sz w:val="22"/>
        <w:szCs w:val="22"/>
      </w:rPr>
      <w:instrText xml:space="preserve"> NUMPAGES  \* Arabic  \* MERGEFORMAT </w:instrText>
    </w:r>
    <w:r w:rsidRPr="00D53EFC">
      <w:rPr>
        <w:rFonts w:ascii="Calibri" w:hAnsi="Calibri" w:cs="Calibri"/>
        <w:b/>
        <w:color w:val="2F8DCB"/>
        <w:sz w:val="22"/>
        <w:szCs w:val="22"/>
      </w:rPr>
      <w:fldChar w:fldCharType="separate"/>
    </w:r>
    <w:r w:rsidR="00FA32A3" w:rsidRPr="00D53EFC">
      <w:rPr>
        <w:rFonts w:ascii="Calibri" w:hAnsi="Calibri" w:cs="Calibri"/>
        <w:b/>
        <w:noProof/>
        <w:color w:val="2F8DCB"/>
        <w:sz w:val="22"/>
        <w:szCs w:val="22"/>
      </w:rPr>
      <w:t>5</w:t>
    </w:r>
    <w:r w:rsidRPr="00D53EFC">
      <w:rPr>
        <w:rFonts w:ascii="Calibri" w:hAnsi="Calibri" w:cs="Calibri"/>
        <w:b/>
        <w:color w:val="2F8DCB"/>
        <w:sz w:val="22"/>
        <w:szCs w:val="22"/>
      </w:rPr>
      <w:fldChar w:fldCharType="end"/>
    </w:r>
  </w:p>
  <w:p w14:paraId="141B9114" w14:textId="45629750" w:rsidR="002C3E7C" w:rsidRPr="0073290F" w:rsidRDefault="00903441" w:rsidP="000C73D5">
    <w:pPr>
      <w:pStyle w:val="Footer"/>
      <w:ind w:right="360"/>
      <w:rPr>
        <w:rFonts w:ascii="Calibri" w:hAnsi="Calibri" w:cs="Calibri"/>
        <w:bCs/>
        <w:color w:val="2F8DCB"/>
        <w:sz w:val="20"/>
      </w:rPr>
    </w:pPr>
    <w:r w:rsidRPr="0073290F">
      <w:rPr>
        <w:rFonts w:ascii="Calibri" w:hAnsi="Calibri" w:cs="Calibri"/>
        <w:bCs/>
        <w:color w:val="2F8DCB"/>
        <w:sz w:val="20"/>
      </w:rPr>
      <w:t xml:space="preserve">Effective Dates: </w:t>
    </w:r>
    <w:r w:rsidR="00FA32A3" w:rsidRPr="0073290F">
      <w:rPr>
        <w:rFonts w:ascii="Calibri" w:hAnsi="Calibri" w:cs="Calibri"/>
        <w:bCs/>
        <w:color w:val="2F8DCB"/>
        <w:sz w:val="20"/>
      </w:rPr>
      <w:t xml:space="preserve"> </w:t>
    </w:r>
    <w:r w:rsidRPr="0073290F">
      <w:rPr>
        <w:rFonts w:ascii="Calibri" w:hAnsi="Calibri" w:cs="Calibri"/>
        <w:bCs/>
        <w:color w:val="2F8DCB"/>
        <w:sz w:val="20"/>
      </w:rPr>
      <w:t xml:space="preserve">10/01/17, </w:t>
    </w:r>
    <w:r w:rsidR="00341BC4" w:rsidRPr="0073290F">
      <w:rPr>
        <w:rFonts w:ascii="Calibri" w:hAnsi="Calibri" w:cs="Calibri"/>
        <w:bCs/>
        <w:color w:val="2F8DCB"/>
        <w:sz w:val="20"/>
      </w:rPr>
      <w:t>01/08/20</w:t>
    </w:r>
    <w:r w:rsidR="009765FF" w:rsidRPr="0073290F">
      <w:rPr>
        <w:rFonts w:ascii="Calibri" w:hAnsi="Calibri" w:cs="Calibri"/>
        <w:bCs/>
        <w:color w:val="2F8DCB"/>
        <w:sz w:val="20"/>
      </w:rPr>
      <w:t>, 10/01/21</w:t>
    </w:r>
    <w:r w:rsidR="00D40815" w:rsidRPr="0073290F">
      <w:rPr>
        <w:rFonts w:ascii="Calibri" w:hAnsi="Calibri" w:cs="Calibri"/>
        <w:bCs/>
        <w:color w:val="2F8DCB"/>
        <w:sz w:val="20"/>
      </w:rPr>
      <w:t xml:space="preserve">, </w:t>
    </w:r>
    <w:r w:rsidR="004B18ED">
      <w:rPr>
        <w:rFonts w:ascii="Calibri" w:hAnsi="Calibri" w:cs="Calibri"/>
        <w:bCs/>
        <w:color w:val="2F8DCB"/>
        <w:sz w:val="20"/>
      </w:rPr>
      <w:t>10/01/23</w:t>
    </w:r>
  </w:p>
  <w:p w14:paraId="00995CAC" w14:textId="5CA874D5" w:rsidR="00903441" w:rsidRPr="0073290F" w:rsidRDefault="00903441" w:rsidP="000C73D5">
    <w:pPr>
      <w:pStyle w:val="Footer"/>
      <w:ind w:right="360"/>
      <w:rPr>
        <w:rFonts w:ascii="Calibri" w:hAnsi="Calibri" w:cs="Calibri"/>
        <w:bCs/>
        <w:color w:val="2F8DCB"/>
        <w:sz w:val="20"/>
      </w:rPr>
    </w:pPr>
    <w:r w:rsidRPr="0073290F">
      <w:rPr>
        <w:rFonts w:ascii="Calibri" w:hAnsi="Calibri" w:cs="Calibri"/>
        <w:bCs/>
        <w:color w:val="2F8DCB"/>
        <w:sz w:val="20"/>
      </w:rPr>
      <w:t xml:space="preserve">Approval Dates: 07/25/17, </w:t>
    </w:r>
    <w:r w:rsidR="00C21EC8" w:rsidRPr="0073290F">
      <w:rPr>
        <w:rFonts w:ascii="Calibri" w:hAnsi="Calibri" w:cs="Calibri"/>
        <w:bCs/>
        <w:color w:val="2F8DCB"/>
        <w:sz w:val="20"/>
      </w:rPr>
      <w:t>10/17/19</w:t>
    </w:r>
    <w:r w:rsidR="009765FF" w:rsidRPr="0073290F">
      <w:rPr>
        <w:rFonts w:ascii="Calibri" w:hAnsi="Calibri" w:cs="Calibri"/>
        <w:bCs/>
        <w:color w:val="2F8DCB"/>
        <w:sz w:val="20"/>
      </w:rPr>
      <w:t xml:space="preserve">, </w:t>
    </w:r>
    <w:r w:rsidR="002E2C4F" w:rsidRPr="0073290F">
      <w:rPr>
        <w:rFonts w:ascii="Calibri" w:hAnsi="Calibri" w:cs="Calibri"/>
        <w:bCs/>
        <w:color w:val="2F8DCB"/>
        <w:sz w:val="20"/>
      </w:rPr>
      <w:t>05/20/21</w:t>
    </w:r>
    <w:r w:rsidR="00D40815" w:rsidRPr="0073290F">
      <w:rPr>
        <w:rFonts w:ascii="Calibri" w:hAnsi="Calibri" w:cs="Calibri"/>
        <w:bCs/>
        <w:color w:val="2F8DCB"/>
        <w:sz w:val="20"/>
      </w:rPr>
      <w:t xml:space="preserve">, </w:t>
    </w:r>
    <w:r w:rsidR="005B5D28">
      <w:rPr>
        <w:rFonts w:ascii="Calibri" w:hAnsi="Calibri" w:cs="Calibri"/>
        <w:bCs/>
        <w:color w:val="2F8DCB"/>
        <w:sz w:val="20"/>
      </w:rPr>
      <w:t>07/18/23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A8D5" w14:textId="77777777" w:rsidR="002C3E7C" w:rsidRPr="00467668" w:rsidRDefault="002C3E7C" w:rsidP="005F03A7">
    <w:pPr>
      <w:pStyle w:val="Footer"/>
      <w:pBdr>
        <w:top w:val="single" w:sz="18" w:space="1" w:color="auto"/>
      </w:pBdr>
      <w:jc w:val="center"/>
      <w:rPr>
        <w:b/>
        <w:bCs/>
        <w:sz w:val="20"/>
      </w:rPr>
    </w:pPr>
    <w:r w:rsidRPr="00467668">
      <w:rPr>
        <w:b/>
        <w:sz w:val="20"/>
      </w:rPr>
      <w:t xml:space="preserve">Exhibit 1630-2, Page </w:t>
    </w:r>
    <w:r w:rsidRPr="00467668">
      <w:rPr>
        <w:b/>
        <w:bCs/>
        <w:sz w:val="20"/>
      </w:rPr>
      <w:fldChar w:fldCharType="begin"/>
    </w:r>
    <w:r w:rsidRPr="00467668">
      <w:rPr>
        <w:b/>
        <w:bCs/>
        <w:sz w:val="20"/>
      </w:rPr>
      <w:instrText xml:space="preserve"> PAGE </w:instrText>
    </w:r>
    <w:r w:rsidRPr="00467668">
      <w:rPr>
        <w:b/>
        <w:bCs/>
        <w:sz w:val="20"/>
      </w:rPr>
      <w:fldChar w:fldCharType="separate"/>
    </w:r>
    <w:r w:rsidR="00FF21CE">
      <w:rPr>
        <w:b/>
        <w:bCs/>
        <w:noProof/>
        <w:sz w:val="20"/>
      </w:rPr>
      <w:t>1</w:t>
    </w:r>
    <w:r w:rsidRPr="00467668">
      <w:rPr>
        <w:b/>
        <w:bCs/>
        <w:sz w:val="20"/>
      </w:rPr>
      <w:fldChar w:fldCharType="end"/>
    </w:r>
    <w:r w:rsidRPr="00467668">
      <w:rPr>
        <w:b/>
        <w:sz w:val="20"/>
      </w:rPr>
      <w:t xml:space="preserve"> of </w:t>
    </w:r>
    <w:r w:rsidRPr="00467668">
      <w:rPr>
        <w:b/>
        <w:bCs/>
        <w:sz w:val="20"/>
      </w:rPr>
      <w:fldChar w:fldCharType="begin"/>
    </w:r>
    <w:r w:rsidRPr="00467668">
      <w:rPr>
        <w:b/>
        <w:bCs/>
        <w:sz w:val="20"/>
      </w:rPr>
      <w:instrText xml:space="preserve"> NUMPAGES  </w:instrText>
    </w:r>
    <w:r w:rsidRPr="00467668">
      <w:rPr>
        <w:b/>
        <w:bCs/>
        <w:sz w:val="20"/>
      </w:rPr>
      <w:fldChar w:fldCharType="separate"/>
    </w:r>
    <w:r w:rsidR="001564B5">
      <w:rPr>
        <w:b/>
        <w:bCs/>
        <w:noProof/>
        <w:sz w:val="20"/>
      </w:rPr>
      <w:t>5</w:t>
    </w:r>
    <w:r w:rsidRPr="00467668">
      <w:rPr>
        <w:b/>
        <w:bCs/>
        <w:sz w:val="20"/>
      </w:rPr>
      <w:fldChar w:fldCharType="end"/>
    </w:r>
  </w:p>
  <w:p w14:paraId="65A4E6FE" w14:textId="77777777" w:rsidR="002C3E7C" w:rsidRPr="00467668" w:rsidRDefault="002C3E7C" w:rsidP="00877F73">
    <w:pPr>
      <w:pStyle w:val="Footer"/>
      <w:rPr>
        <w:b/>
        <w:bCs/>
        <w:sz w:val="20"/>
      </w:rPr>
    </w:pPr>
    <w:r w:rsidRPr="00467668">
      <w:rPr>
        <w:b/>
        <w:bCs/>
        <w:sz w:val="20"/>
      </w:rPr>
      <w:t>Effective Date</w:t>
    </w:r>
    <w:r w:rsidR="00286B8D">
      <w:rPr>
        <w:b/>
        <w:bCs/>
        <w:sz w:val="20"/>
      </w:rPr>
      <w:t>s</w:t>
    </w:r>
    <w:r w:rsidRPr="00467668">
      <w:rPr>
        <w:b/>
        <w:bCs/>
        <w:sz w:val="20"/>
      </w:rPr>
      <w:t>:  10/01/17</w:t>
    </w:r>
    <w:r w:rsidR="00286B8D">
      <w:rPr>
        <w:b/>
        <w:bCs/>
        <w:sz w:val="20"/>
      </w:rPr>
      <w:t>, XX/XX/XX</w:t>
    </w:r>
  </w:p>
  <w:p w14:paraId="023E829B" w14:textId="77777777" w:rsidR="002C3E7C" w:rsidRPr="00467668" w:rsidRDefault="00286B8D" w:rsidP="00467668">
    <w:pPr>
      <w:pStyle w:val="Footer"/>
      <w:rPr>
        <w:b/>
        <w:sz w:val="20"/>
      </w:rPr>
    </w:pPr>
    <w:r>
      <w:rPr>
        <w:b/>
        <w:bCs/>
        <w:sz w:val="20"/>
      </w:rPr>
      <w:t>Approval</w:t>
    </w:r>
    <w:r w:rsidRPr="00467668">
      <w:rPr>
        <w:b/>
        <w:bCs/>
        <w:sz w:val="20"/>
      </w:rPr>
      <w:t xml:space="preserve"> </w:t>
    </w:r>
    <w:r w:rsidR="002C3E7C" w:rsidRPr="00467668">
      <w:rPr>
        <w:b/>
        <w:bCs/>
        <w:sz w:val="20"/>
      </w:rPr>
      <w:t>Date</w:t>
    </w:r>
    <w:r>
      <w:rPr>
        <w:b/>
        <w:bCs/>
        <w:sz w:val="20"/>
      </w:rPr>
      <w:t>s</w:t>
    </w:r>
    <w:r w:rsidR="002C3E7C" w:rsidRPr="00467668">
      <w:rPr>
        <w:b/>
        <w:bCs/>
        <w:sz w:val="20"/>
      </w:rPr>
      <w:t>:  07/25/17</w:t>
    </w:r>
    <w:r>
      <w:rPr>
        <w:b/>
        <w:bCs/>
        <w:sz w:val="20"/>
      </w:rPr>
      <w:t>, XX/XX/XX</w:t>
    </w:r>
    <w:r w:rsidR="002C3E7C" w:rsidRPr="00467668">
      <w:rPr>
        <w:b/>
        <w:sz w:val="20"/>
      </w:rPr>
      <w:tab/>
    </w:r>
    <w:r w:rsidR="002C3E7C" w:rsidRPr="00467668">
      <w:rPr>
        <w:b/>
        <w:sz w:val="20"/>
      </w:rPr>
      <w:tab/>
    </w:r>
  </w:p>
  <w:p w14:paraId="3325301A" w14:textId="77777777" w:rsidR="002C3E7C" w:rsidRDefault="002C3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0D68" w14:textId="77777777" w:rsidR="009E4608" w:rsidRDefault="009E4608">
      <w:r>
        <w:separator/>
      </w:r>
    </w:p>
  </w:footnote>
  <w:footnote w:type="continuationSeparator" w:id="0">
    <w:p w14:paraId="7A93CAF9" w14:textId="77777777" w:rsidR="009E4608" w:rsidRDefault="009E4608">
      <w:r>
        <w:continuationSeparator/>
      </w:r>
    </w:p>
  </w:footnote>
  <w:footnote w:type="continuationNotice" w:id="1">
    <w:p w14:paraId="042E1282" w14:textId="77777777" w:rsidR="009E4608" w:rsidRDefault="009E46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97" w:type="dxa"/>
      <w:tblInd w:w="-162" w:type="dxa"/>
      <w:tblLayout w:type="fixed"/>
      <w:tblLook w:val="04A0" w:firstRow="1" w:lastRow="0" w:firstColumn="1" w:lastColumn="0" w:noHBand="0" w:noVBand="1"/>
    </w:tblPr>
    <w:tblGrid>
      <w:gridCol w:w="4230"/>
      <w:gridCol w:w="9267"/>
    </w:tblGrid>
    <w:tr w:rsidR="00F950A0" w:rsidRPr="00847B31" w14:paraId="5A700ABC" w14:textId="77777777" w:rsidTr="000D49FA">
      <w:trPr>
        <w:trHeight w:val="531"/>
      </w:trPr>
      <w:tc>
        <w:tcPr>
          <w:tcW w:w="4230" w:type="dxa"/>
          <w:vMerge w:val="restart"/>
          <w:shd w:val="clear" w:color="auto" w:fill="auto"/>
          <w:vAlign w:val="center"/>
        </w:tcPr>
        <w:p w14:paraId="7A11D07E" w14:textId="2277F133" w:rsidR="00F950A0" w:rsidRPr="00847B31" w:rsidRDefault="008E4C6F" w:rsidP="00F950A0">
          <w:pPr>
            <w:tabs>
              <w:tab w:val="left" w:pos="3312"/>
            </w:tabs>
            <w:ind w:right="541"/>
            <w:rPr>
              <w:smallCaps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7095D266" wp14:editId="78104019">
                <wp:extent cx="1932305" cy="597535"/>
                <wp:effectExtent l="0" t="0" r="0" b="0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1878695D" w14:textId="77777777" w:rsidR="00F950A0" w:rsidRPr="00D53EFC" w:rsidRDefault="00F950A0" w:rsidP="00595D1F">
          <w:pPr>
            <w:jc w:val="right"/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</w:pPr>
        </w:p>
        <w:p w14:paraId="5E6EC45D" w14:textId="2EDEFC94" w:rsidR="00F950A0" w:rsidRPr="00D53EFC" w:rsidRDefault="000D49FA" w:rsidP="00595D1F">
          <w:pPr>
            <w:jc w:val="center"/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</w:pPr>
          <w:r w:rsidRPr="00D53EFC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>AHCCCS MEDICAL POLICY MANUAL</w:t>
          </w:r>
        </w:p>
      </w:tc>
    </w:tr>
    <w:tr w:rsidR="00F950A0" w:rsidRPr="00847B31" w14:paraId="648D0335" w14:textId="77777777" w:rsidTr="000D49FA">
      <w:trPr>
        <w:trHeight w:val="35"/>
      </w:trPr>
      <w:tc>
        <w:tcPr>
          <w:tcW w:w="4230" w:type="dxa"/>
          <w:vMerge/>
          <w:shd w:val="clear" w:color="auto" w:fill="auto"/>
        </w:tcPr>
        <w:p w14:paraId="1758BE2B" w14:textId="77777777" w:rsidR="00F950A0" w:rsidRPr="00847B31" w:rsidRDefault="00F950A0" w:rsidP="00595D1F">
          <w:pPr>
            <w:rPr>
              <w:smallCaps/>
              <w:szCs w:val="24"/>
              <w:highlight w:val="cyan"/>
            </w:rPr>
          </w:pPr>
        </w:p>
      </w:tc>
      <w:tc>
        <w:tcPr>
          <w:tcW w:w="9267" w:type="dxa"/>
          <w:tcBorders>
            <w:top w:val="single" w:sz="18" w:space="0" w:color="2F8DCB"/>
          </w:tcBorders>
          <w:shd w:val="clear" w:color="auto" w:fill="auto"/>
        </w:tcPr>
        <w:p w14:paraId="4284325D" w14:textId="6FE1DEBE" w:rsidR="00F950A0" w:rsidRPr="00D53EFC" w:rsidRDefault="000D49FA" w:rsidP="00F950A0">
          <w:pPr>
            <w:jc w:val="center"/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</w:pPr>
          <w:r w:rsidRPr="00D53EFC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>POLICY 1630</w:t>
          </w:r>
          <w:r w:rsidR="00B924DC" w:rsidRPr="00D53EFC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 xml:space="preserve"> - </w:t>
          </w:r>
          <w:r w:rsidRPr="00D53EFC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>ATTACHMENT A – CASE MANAGEMENT PLAN CHECKLIST</w:t>
          </w:r>
        </w:p>
      </w:tc>
    </w:tr>
  </w:tbl>
  <w:p w14:paraId="10C0F7E6" w14:textId="46F6F4DC" w:rsidR="00286B8D" w:rsidRDefault="00286B8D" w:rsidP="00F950A0">
    <w:pPr>
      <w:pStyle w:val="Header"/>
      <w:tabs>
        <w:tab w:val="clear" w:pos="8640"/>
        <w:tab w:val="right" w:pos="143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5483A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BB28F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DA9C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BA32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3ABD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8066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612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601A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A2C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8C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21AB7"/>
    <w:multiLevelType w:val="hybridMultilevel"/>
    <w:tmpl w:val="52561822"/>
    <w:lvl w:ilvl="0" w:tplc="29E836D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22955"/>
    <w:multiLevelType w:val="hybridMultilevel"/>
    <w:tmpl w:val="58B2321E"/>
    <w:lvl w:ilvl="0" w:tplc="3084B50C">
      <w:start w:val="1"/>
      <w:numFmt w:val="bullet"/>
      <w:pStyle w:val="Docume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30037"/>
    <w:multiLevelType w:val="multilevel"/>
    <w:tmpl w:val="1564DC4C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4"/>
      <w:numFmt w:val="decimal"/>
      <w:pStyle w:val="Heading6"/>
      <w:lvlText w:val="(%6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0D257BFF"/>
    <w:multiLevelType w:val="hybridMultilevel"/>
    <w:tmpl w:val="A7480B06"/>
    <w:lvl w:ilvl="0" w:tplc="BA84E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6D3755"/>
    <w:multiLevelType w:val="hybridMultilevel"/>
    <w:tmpl w:val="A4EA4140"/>
    <w:lvl w:ilvl="0" w:tplc="C67C2918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4E421EB"/>
    <w:multiLevelType w:val="hybridMultilevel"/>
    <w:tmpl w:val="C97C1D20"/>
    <w:lvl w:ilvl="0" w:tplc="4C3C0516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B4B71"/>
    <w:multiLevelType w:val="hybridMultilevel"/>
    <w:tmpl w:val="456CAD96"/>
    <w:lvl w:ilvl="0" w:tplc="36FCDEC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EF411F"/>
    <w:multiLevelType w:val="hybridMultilevel"/>
    <w:tmpl w:val="F17A9B0A"/>
    <w:lvl w:ilvl="0" w:tplc="5E6851B8">
      <w:start w:val="1"/>
      <w:numFmt w:val="lowerLetter"/>
      <w:lvlText w:val="%1."/>
      <w:lvlJc w:val="left"/>
      <w:pPr>
        <w:ind w:left="720" w:hanging="360"/>
      </w:pPr>
    </w:lvl>
    <w:lvl w:ilvl="1" w:tplc="81540A16">
      <w:start w:val="1"/>
      <w:numFmt w:val="lowerLetter"/>
      <w:lvlText w:val="%2."/>
      <w:lvlJc w:val="left"/>
      <w:pPr>
        <w:ind w:left="720" w:hanging="360"/>
      </w:pPr>
    </w:lvl>
    <w:lvl w:ilvl="2" w:tplc="4F5AACB8">
      <w:start w:val="1"/>
      <w:numFmt w:val="lowerLetter"/>
      <w:lvlText w:val="%3."/>
      <w:lvlJc w:val="left"/>
      <w:pPr>
        <w:ind w:left="720" w:hanging="360"/>
      </w:pPr>
    </w:lvl>
    <w:lvl w:ilvl="3" w:tplc="9F900938">
      <w:start w:val="1"/>
      <w:numFmt w:val="lowerLetter"/>
      <w:lvlText w:val="%4."/>
      <w:lvlJc w:val="left"/>
      <w:pPr>
        <w:ind w:left="720" w:hanging="360"/>
      </w:pPr>
    </w:lvl>
    <w:lvl w:ilvl="4" w:tplc="199A9EDA">
      <w:start w:val="1"/>
      <w:numFmt w:val="lowerLetter"/>
      <w:lvlText w:val="%5."/>
      <w:lvlJc w:val="left"/>
      <w:pPr>
        <w:ind w:left="720" w:hanging="360"/>
      </w:pPr>
    </w:lvl>
    <w:lvl w:ilvl="5" w:tplc="B044B0C4">
      <w:start w:val="1"/>
      <w:numFmt w:val="lowerLetter"/>
      <w:lvlText w:val="%6."/>
      <w:lvlJc w:val="left"/>
      <w:pPr>
        <w:ind w:left="720" w:hanging="360"/>
      </w:pPr>
    </w:lvl>
    <w:lvl w:ilvl="6" w:tplc="EE18A81E">
      <w:start w:val="1"/>
      <w:numFmt w:val="lowerLetter"/>
      <w:lvlText w:val="%7."/>
      <w:lvlJc w:val="left"/>
      <w:pPr>
        <w:ind w:left="720" w:hanging="360"/>
      </w:pPr>
    </w:lvl>
    <w:lvl w:ilvl="7" w:tplc="380A5FD4">
      <w:start w:val="1"/>
      <w:numFmt w:val="lowerLetter"/>
      <w:lvlText w:val="%8."/>
      <w:lvlJc w:val="left"/>
      <w:pPr>
        <w:ind w:left="720" w:hanging="360"/>
      </w:pPr>
    </w:lvl>
    <w:lvl w:ilvl="8" w:tplc="A986FCB0">
      <w:start w:val="1"/>
      <w:numFmt w:val="lowerLetter"/>
      <w:lvlText w:val="%9."/>
      <w:lvlJc w:val="left"/>
      <w:pPr>
        <w:ind w:left="720" w:hanging="360"/>
      </w:pPr>
    </w:lvl>
  </w:abstractNum>
  <w:abstractNum w:abstractNumId="18" w15:restartNumberingAfterBreak="0">
    <w:nsid w:val="3E161EF6"/>
    <w:multiLevelType w:val="hybridMultilevel"/>
    <w:tmpl w:val="8D6E3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C5DE8"/>
    <w:multiLevelType w:val="hybridMultilevel"/>
    <w:tmpl w:val="C558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9044B"/>
    <w:multiLevelType w:val="hybridMultilevel"/>
    <w:tmpl w:val="C78E5102"/>
    <w:lvl w:ilvl="0" w:tplc="6DE2F0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9934187">
    <w:abstractNumId w:val="12"/>
  </w:num>
  <w:num w:numId="2" w16cid:durableId="176817165">
    <w:abstractNumId w:val="9"/>
  </w:num>
  <w:num w:numId="3" w16cid:durableId="1590846518">
    <w:abstractNumId w:val="7"/>
  </w:num>
  <w:num w:numId="4" w16cid:durableId="842933040">
    <w:abstractNumId w:val="6"/>
  </w:num>
  <w:num w:numId="5" w16cid:durableId="2094274188">
    <w:abstractNumId w:val="5"/>
  </w:num>
  <w:num w:numId="6" w16cid:durableId="1489437018">
    <w:abstractNumId w:val="4"/>
  </w:num>
  <w:num w:numId="7" w16cid:durableId="1936864835">
    <w:abstractNumId w:val="8"/>
  </w:num>
  <w:num w:numId="8" w16cid:durableId="1431704616">
    <w:abstractNumId w:val="3"/>
  </w:num>
  <w:num w:numId="9" w16cid:durableId="515507014">
    <w:abstractNumId w:val="2"/>
  </w:num>
  <w:num w:numId="10" w16cid:durableId="291130422">
    <w:abstractNumId w:val="1"/>
  </w:num>
  <w:num w:numId="11" w16cid:durableId="1617760048">
    <w:abstractNumId w:val="0"/>
  </w:num>
  <w:num w:numId="12" w16cid:durableId="1069421587">
    <w:abstractNumId w:val="11"/>
  </w:num>
  <w:num w:numId="13" w16cid:durableId="2010911722">
    <w:abstractNumId w:val="20"/>
  </w:num>
  <w:num w:numId="14" w16cid:durableId="1251429119">
    <w:abstractNumId w:val="13"/>
  </w:num>
  <w:num w:numId="15" w16cid:durableId="1550610619">
    <w:abstractNumId w:val="16"/>
  </w:num>
  <w:num w:numId="16" w16cid:durableId="1982613038">
    <w:abstractNumId w:val="15"/>
  </w:num>
  <w:num w:numId="17" w16cid:durableId="859246429">
    <w:abstractNumId w:val="12"/>
  </w:num>
  <w:num w:numId="18" w16cid:durableId="1615097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3336684">
    <w:abstractNumId w:val="12"/>
  </w:num>
  <w:num w:numId="20" w16cid:durableId="478108019">
    <w:abstractNumId w:val="12"/>
  </w:num>
  <w:num w:numId="21" w16cid:durableId="473259426">
    <w:abstractNumId w:val="14"/>
  </w:num>
  <w:num w:numId="22" w16cid:durableId="1281569645">
    <w:abstractNumId w:val="19"/>
  </w:num>
  <w:num w:numId="23" w16cid:durableId="699017774">
    <w:abstractNumId w:val="10"/>
  </w:num>
  <w:num w:numId="24" w16cid:durableId="125262191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1F"/>
    <w:rsid w:val="00002982"/>
    <w:rsid w:val="00003ADA"/>
    <w:rsid w:val="000102BF"/>
    <w:rsid w:val="00010FFD"/>
    <w:rsid w:val="00022B1F"/>
    <w:rsid w:val="00022BCE"/>
    <w:rsid w:val="00030FDD"/>
    <w:rsid w:val="000369E4"/>
    <w:rsid w:val="000421BA"/>
    <w:rsid w:val="00050407"/>
    <w:rsid w:val="00050CE3"/>
    <w:rsid w:val="00057463"/>
    <w:rsid w:val="00075A0E"/>
    <w:rsid w:val="00077674"/>
    <w:rsid w:val="00082637"/>
    <w:rsid w:val="0009502D"/>
    <w:rsid w:val="00095268"/>
    <w:rsid w:val="000A3F05"/>
    <w:rsid w:val="000A6E67"/>
    <w:rsid w:val="000B16F4"/>
    <w:rsid w:val="000B42B0"/>
    <w:rsid w:val="000C41B0"/>
    <w:rsid w:val="000C73D5"/>
    <w:rsid w:val="000D3D1C"/>
    <w:rsid w:val="000D3EBC"/>
    <w:rsid w:val="000D49FA"/>
    <w:rsid w:val="000D6C94"/>
    <w:rsid w:val="000E4519"/>
    <w:rsid w:val="000F6F53"/>
    <w:rsid w:val="00111587"/>
    <w:rsid w:val="00117D99"/>
    <w:rsid w:val="00122A83"/>
    <w:rsid w:val="0012447A"/>
    <w:rsid w:val="001260BF"/>
    <w:rsid w:val="0012744F"/>
    <w:rsid w:val="00132117"/>
    <w:rsid w:val="00132D93"/>
    <w:rsid w:val="00133B95"/>
    <w:rsid w:val="001362D5"/>
    <w:rsid w:val="00137064"/>
    <w:rsid w:val="0014228C"/>
    <w:rsid w:val="001467CA"/>
    <w:rsid w:val="00147C46"/>
    <w:rsid w:val="00151B13"/>
    <w:rsid w:val="001564B5"/>
    <w:rsid w:val="00156B50"/>
    <w:rsid w:val="00162A96"/>
    <w:rsid w:val="001733BE"/>
    <w:rsid w:val="00183E7F"/>
    <w:rsid w:val="001846B3"/>
    <w:rsid w:val="00186C58"/>
    <w:rsid w:val="001A0EAB"/>
    <w:rsid w:val="001A1B69"/>
    <w:rsid w:val="001A217F"/>
    <w:rsid w:val="001B2B19"/>
    <w:rsid w:val="001C1130"/>
    <w:rsid w:val="001C19D9"/>
    <w:rsid w:val="001C51B5"/>
    <w:rsid w:val="001D2EBF"/>
    <w:rsid w:val="001D68A4"/>
    <w:rsid w:val="001E0DAB"/>
    <w:rsid w:val="001E11E9"/>
    <w:rsid w:val="00203323"/>
    <w:rsid w:val="002034BB"/>
    <w:rsid w:val="0020542D"/>
    <w:rsid w:val="00207A9C"/>
    <w:rsid w:val="0021485B"/>
    <w:rsid w:val="0022117C"/>
    <w:rsid w:val="00233025"/>
    <w:rsid w:val="00235AA3"/>
    <w:rsid w:val="0025036D"/>
    <w:rsid w:val="0027182B"/>
    <w:rsid w:val="00276A1F"/>
    <w:rsid w:val="00286B8D"/>
    <w:rsid w:val="00293A22"/>
    <w:rsid w:val="00294321"/>
    <w:rsid w:val="002A284C"/>
    <w:rsid w:val="002B193B"/>
    <w:rsid w:val="002B4F65"/>
    <w:rsid w:val="002B5B9C"/>
    <w:rsid w:val="002C1E7F"/>
    <w:rsid w:val="002C27FA"/>
    <w:rsid w:val="002C3E7C"/>
    <w:rsid w:val="002C4558"/>
    <w:rsid w:val="002C5A4A"/>
    <w:rsid w:val="002D70B1"/>
    <w:rsid w:val="002E17E2"/>
    <w:rsid w:val="002E1B6A"/>
    <w:rsid w:val="002E2A8D"/>
    <w:rsid w:val="002E2C4F"/>
    <w:rsid w:val="00301CD0"/>
    <w:rsid w:val="0030480B"/>
    <w:rsid w:val="00311516"/>
    <w:rsid w:val="0031618C"/>
    <w:rsid w:val="003214D1"/>
    <w:rsid w:val="00321C28"/>
    <w:rsid w:val="00321D69"/>
    <w:rsid w:val="0032296B"/>
    <w:rsid w:val="003260FD"/>
    <w:rsid w:val="00330DBA"/>
    <w:rsid w:val="003325A4"/>
    <w:rsid w:val="00332A31"/>
    <w:rsid w:val="00340AF7"/>
    <w:rsid w:val="00340F6E"/>
    <w:rsid w:val="00341BC4"/>
    <w:rsid w:val="00342034"/>
    <w:rsid w:val="003438D5"/>
    <w:rsid w:val="00345958"/>
    <w:rsid w:val="00347D21"/>
    <w:rsid w:val="00362375"/>
    <w:rsid w:val="00364AF3"/>
    <w:rsid w:val="00366FD1"/>
    <w:rsid w:val="0037072D"/>
    <w:rsid w:val="00371645"/>
    <w:rsid w:val="003736D6"/>
    <w:rsid w:val="0037544C"/>
    <w:rsid w:val="0038344C"/>
    <w:rsid w:val="003835C8"/>
    <w:rsid w:val="003A1F89"/>
    <w:rsid w:val="003A4C06"/>
    <w:rsid w:val="003A7058"/>
    <w:rsid w:val="003B006A"/>
    <w:rsid w:val="003B3E73"/>
    <w:rsid w:val="003C1086"/>
    <w:rsid w:val="003C20EC"/>
    <w:rsid w:val="003C6E9C"/>
    <w:rsid w:val="003C752A"/>
    <w:rsid w:val="003E024F"/>
    <w:rsid w:val="003E24B0"/>
    <w:rsid w:val="003F1D64"/>
    <w:rsid w:val="0040017C"/>
    <w:rsid w:val="004037AF"/>
    <w:rsid w:val="00404DE8"/>
    <w:rsid w:val="00405BB9"/>
    <w:rsid w:val="004062E5"/>
    <w:rsid w:val="004133E4"/>
    <w:rsid w:val="00415C47"/>
    <w:rsid w:val="0042046C"/>
    <w:rsid w:val="0042258A"/>
    <w:rsid w:val="0042704B"/>
    <w:rsid w:val="0043374C"/>
    <w:rsid w:val="00436761"/>
    <w:rsid w:val="00437482"/>
    <w:rsid w:val="00437C6F"/>
    <w:rsid w:val="004413BF"/>
    <w:rsid w:val="004420AB"/>
    <w:rsid w:val="0044479A"/>
    <w:rsid w:val="00454557"/>
    <w:rsid w:val="00454DD8"/>
    <w:rsid w:val="00460024"/>
    <w:rsid w:val="004610FC"/>
    <w:rsid w:val="00467668"/>
    <w:rsid w:val="00480F91"/>
    <w:rsid w:val="004841B1"/>
    <w:rsid w:val="004874EB"/>
    <w:rsid w:val="004912C5"/>
    <w:rsid w:val="004A02D2"/>
    <w:rsid w:val="004B18ED"/>
    <w:rsid w:val="004B3835"/>
    <w:rsid w:val="004B6EA2"/>
    <w:rsid w:val="004C4A1F"/>
    <w:rsid w:val="004D421B"/>
    <w:rsid w:val="004D726A"/>
    <w:rsid w:val="004D7C78"/>
    <w:rsid w:val="004E79F8"/>
    <w:rsid w:val="004F0EBD"/>
    <w:rsid w:val="00504CD9"/>
    <w:rsid w:val="00505FA7"/>
    <w:rsid w:val="00511568"/>
    <w:rsid w:val="00514F8C"/>
    <w:rsid w:val="00517B48"/>
    <w:rsid w:val="005224C5"/>
    <w:rsid w:val="00522E7F"/>
    <w:rsid w:val="00526FB1"/>
    <w:rsid w:val="00535604"/>
    <w:rsid w:val="005368C0"/>
    <w:rsid w:val="0053744C"/>
    <w:rsid w:val="00542BC7"/>
    <w:rsid w:val="00545293"/>
    <w:rsid w:val="00552E49"/>
    <w:rsid w:val="00555E60"/>
    <w:rsid w:val="00557EB0"/>
    <w:rsid w:val="00561B79"/>
    <w:rsid w:val="00563FBC"/>
    <w:rsid w:val="00564CA1"/>
    <w:rsid w:val="00573197"/>
    <w:rsid w:val="00573364"/>
    <w:rsid w:val="00580013"/>
    <w:rsid w:val="00581045"/>
    <w:rsid w:val="00582153"/>
    <w:rsid w:val="005847C0"/>
    <w:rsid w:val="00595115"/>
    <w:rsid w:val="00595D1F"/>
    <w:rsid w:val="005A2B13"/>
    <w:rsid w:val="005A389F"/>
    <w:rsid w:val="005A7893"/>
    <w:rsid w:val="005A7BE9"/>
    <w:rsid w:val="005B4CAA"/>
    <w:rsid w:val="005B5D28"/>
    <w:rsid w:val="005C041E"/>
    <w:rsid w:val="005C09E4"/>
    <w:rsid w:val="005C6831"/>
    <w:rsid w:val="005C7AB7"/>
    <w:rsid w:val="005D145E"/>
    <w:rsid w:val="005D3E82"/>
    <w:rsid w:val="005D49C7"/>
    <w:rsid w:val="005D4EB6"/>
    <w:rsid w:val="005E0074"/>
    <w:rsid w:val="005E0595"/>
    <w:rsid w:val="005E2B5E"/>
    <w:rsid w:val="005E3649"/>
    <w:rsid w:val="005E3CB4"/>
    <w:rsid w:val="005E47DB"/>
    <w:rsid w:val="005F03A7"/>
    <w:rsid w:val="005F1C41"/>
    <w:rsid w:val="005F4CB5"/>
    <w:rsid w:val="005F508D"/>
    <w:rsid w:val="006042A4"/>
    <w:rsid w:val="00604B57"/>
    <w:rsid w:val="00616961"/>
    <w:rsid w:val="00616D7A"/>
    <w:rsid w:val="0062181D"/>
    <w:rsid w:val="00630734"/>
    <w:rsid w:val="0063188A"/>
    <w:rsid w:val="00631D84"/>
    <w:rsid w:val="00631E11"/>
    <w:rsid w:val="006326D0"/>
    <w:rsid w:val="00632FDB"/>
    <w:rsid w:val="00641009"/>
    <w:rsid w:val="006428D6"/>
    <w:rsid w:val="00647C24"/>
    <w:rsid w:val="006624CE"/>
    <w:rsid w:val="00674F3B"/>
    <w:rsid w:val="00675D70"/>
    <w:rsid w:val="006807AE"/>
    <w:rsid w:val="00686853"/>
    <w:rsid w:val="00693B6A"/>
    <w:rsid w:val="00694CC9"/>
    <w:rsid w:val="00696356"/>
    <w:rsid w:val="00696729"/>
    <w:rsid w:val="006A4E47"/>
    <w:rsid w:val="006B1F5B"/>
    <w:rsid w:val="006B2371"/>
    <w:rsid w:val="006C1F50"/>
    <w:rsid w:val="006C35B4"/>
    <w:rsid w:val="006C6B73"/>
    <w:rsid w:val="006C7168"/>
    <w:rsid w:val="006D4396"/>
    <w:rsid w:val="006E2F08"/>
    <w:rsid w:val="006E614F"/>
    <w:rsid w:val="006F3D21"/>
    <w:rsid w:val="00707FC9"/>
    <w:rsid w:val="007101D8"/>
    <w:rsid w:val="00710C1B"/>
    <w:rsid w:val="00712C2C"/>
    <w:rsid w:val="007208BC"/>
    <w:rsid w:val="00723214"/>
    <w:rsid w:val="0073290F"/>
    <w:rsid w:val="00740DC3"/>
    <w:rsid w:val="00741A80"/>
    <w:rsid w:val="00743E3B"/>
    <w:rsid w:val="00745864"/>
    <w:rsid w:val="00747724"/>
    <w:rsid w:val="00757A0A"/>
    <w:rsid w:val="007633C2"/>
    <w:rsid w:val="007751A9"/>
    <w:rsid w:val="007759A5"/>
    <w:rsid w:val="007766B9"/>
    <w:rsid w:val="00790BA0"/>
    <w:rsid w:val="0079273C"/>
    <w:rsid w:val="0079431B"/>
    <w:rsid w:val="007B0F2E"/>
    <w:rsid w:val="007C2231"/>
    <w:rsid w:val="007C4519"/>
    <w:rsid w:val="007C4944"/>
    <w:rsid w:val="007C69DF"/>
    <w:rsid w:val="007D7EFA"/>
    <w:rsid w:val="007E4798"/>
    <w:rsid w:val="007E5577"/>
    <w:rsid w:val="007F2C31"/>
    <w:rsid w:val="007F7900"/>
    <w:rsid w:val="00800077"/>
    <w:rsid w:val="00807746"/>
    <w:rsid w:val="008113E2"/>
    <w:rsid w:val="008125E4"/>
    <w:rsid w:val="00812745"/>
    <w:rsid w:val="00813BDA"/>
    <w:rsid w:val="00813CCF"/>
    <w:rsid w:val="00817A94"/>
    <w:rsid w:val="008236C9"/>
    <w:rsid w:val="00826960"/>
    <w:rsid w:val="008309A4"/>
    <w:rsid w:val="00832212"/>
    <w:rsid w:val="0083362A"/>
    <w:rsid w:val="00842086"/>
    <w:rsid w:val="00842304"/>
    <w:rsid w:val="00844D18"/>
    <w:rsid w:val="00850CCE"/>
    <w:rsid w:val="008528E2"/>
    <w:rsid w:val="0085701C"/>
    <w:rsid w:val="00857670"/>
    <w:rsid w:val="00860982"/>
    <w:rsid w:val="0086476E"/>
    <w:rsid w:val="008716A2"/>
    <w:rsid w:val="00873114"/>
    <w:rsid w:val="008771BE"/>
    <w:rsid w:val="008772CE"/>
    <w:rsid w:val="00877F73"/>
    <w:rsid w:val="00883580"/>
    <w:rsid w:val="0088456B"/>
    <w:rsid w:val="0089248E"/>
    <w:rsid w:val="00893193"/>
    <w:rsid w:val="0089320C"/>
    <w:rsid w:val="0089389E"/>
    <w:rsid w:val="008A2DC0"/>
    <w:rsid w:val="008A67D3"/>
    <w:rsid w:val="008B14B6"/>
    <w:rsid w:val="008B47DB"/>
    <w:rsid w:val="008B4E70"/>
    <w:rsid w:val="008C3863"/>
    <w:rsid w:val="008C3A48"/>
    <w:rsid w:val="008C4533"/>
    <w:rsid w:val="008D1079"/>
    <w:rsid w:val="008D5564"/>
    <w:rsid w:val="008D65A0"/>
    <w:rsid w:val="008E4C6F"/>
    <w:rsid w:val="008E60E8"/>
    <w:rsid w:val="008E72D1"/>
    <w:rsid w:val="008E7CD7"/>
    <w:rsid w:val="008F22BA"/>
    <w:rsid w:val="008F4E7A"/>
    <w:rsid w:val="008F5A3D"/>
    <w:rsid w:val="008F7C2C"/>
    <w:rsid w:val="00901AE2"/>
    <w:rsid w:val="00903441"/>
    <w:rsid w:val="009050E9"/>
    <w:rsid w:val="00926F03"/>
    <w:rsid w:val="009276EC"/>
    <w:rsid w:val="00935A18"/>
    <w:rsid w:val="00937B0E"/>
    <w:rsid w:val="00947D0C"/>
    <w:rsid w:val="0095127D"/>
    <w:rsid w:val="009547B5"/>
    <w:rsid w:val="00972CA6"/>
    <w:rsid w:val="00974C18"/>
    <w:rsid w:val="009765FF"/>
    <w:rsid w:val="009814D0"/>
    <w:rsid w:val="009819D9"/>
    <w:rsid w:val="009828D7"/>
    <w:rsid w:val="00984F0B"/>
    <w:rsid w:val="009871DA"/>
    <w:rsid w:val="00987D01"/>
    <w:rsid w:val="009941ED"/>
    <w:rsid w:val="009A2AE4"/>
    <w:rsid w:val="009A3E30"/>
    <w:rsid w:val="009A7C6D"/>
    <w:rsid w:val="009B5F5C"/>
    <w:rsid w:val="009B6B5D"/>
    <w:rsid w:val="009C081F"/>
    <w:rsid w:val="009C14C1"/>
    <w:rsid w:val="009C69EC"/>
    <w:rsid w:val="009D01B0"/>
    <w:rsid w:val="009D28B5"/>
    <w:rsid w:val="009D7E57"/>
    <w:rsid w:val="009E0BDF"/>
    <w:rsid w:val="009E4608"/>
    <w:rsid w:val="009F5D54"/>
    <w:rsid w:val="00A02CC5"/>
    <w:rsid w:val="00A05F83"/>
    <w:rsid w:val="00A10037"/>
    <w:rsid w:val="00A20B00"/>
    <w:rsid w:val="00A2248D"/>
    <w:rsid w:val="00A23B0E"/>
    <w:rsid w:val="00A2487F"/>
    <w:rsid w:val="00A26789"/>
    <w:rsid w:val="00A34BA9"/>
    <w:rsid w:val="00A44683"/>
    <w:rsid w:val="00A46312"/>
    <w:rsid w:val="00A47DF6"/>
    <w:rsid w:val="00A6381D"/>
    <w:rsid w:val="00A63D95"/>
    <w:rsid w:val="00A71F29"/>
    <w:rsid w:val="00A83398"/>
    <w:rsid w:val="00A84FB5"/>
    <w:rsid w:val="00A91602"/>
    <w:rsid w:val="00A93867"/>
    <w:rsid w:val="00A94ACC"/>
    <w:rsid w:val="00A9688C"/>
    <w:rsid w:val="00AA3BDC"/>
    <w:rsid w:val="00AA46DF"/>
    <w:rsid w:val="00AA5E10"/>
    <w:rsid w:val="00AA6410"/>
    <w:rsid w:val="00AA6860"/>
    <w:rsid w:val="00AB0CBA"/>
    <w:rsid w:val="00AB10DC"/>
    <w:rsid w:val="00AB54CB"/>
    <w:rsid w:val="00AC14DB"/>
    <w:rsid w:val="00AD6D71"/>
    <w:rsid w:val="00AD7E9C"/>
    <w:rsid w:val="00AE433C"/>
    <w:rsid w:val="00AE4E80"/>
    <w:rsid w:val="00AE545A"/>
    <w:rsid w:val="00B01FD8"/>
    <w:rsid w:val="00B11F77"/>
    <w:rsid w:val="00B13ED4"/>
    <w:rsid w:val="00B15160"/>
    <w:rsid w:val="00B156A0"/>
    <w:rsid w:val="00B1728B"/>
    <w:rsid w:val="00B22206"/>
    <w:rsid w:val="00B22FB7"/>
    <w:rsid w:val="00B2439C"/>
    <w:rsid w:val="00B24F2D"/>
    <w:rsid w:val="00B320A1"/>
    <w:rsid w:val="00B32970"/>
    <w:rsid w:val="00B33538"/>
    <w:rsid w:val="00B36EB0"/>
    <w:rsid w:val="00B37D3F"/>
    <w:rsid w:val="00B457B2"/>
    <w:rsid w:val="00B56BE5"/>
    <w:rsid w:val="00B646E0"/>
    <w:rsid w:val="00B76462"/>
    <w:rsid w:val="00B77F44"/>
    <w:rsid w:val="00B82203"/>
    <w:rsid w:val="00B828E7"/>
    <w:rsid w:val="00B82D5B"/>
    <w:rsid w:val="00B834EC"/>
    <w:rsid w:val="00B8472B"/>
    <w:rsid w:val="00B8641F"/>
    <w:rsid w:val="00B86794"/>
    <w:rsid w:val="00B87065"/>
    <w:rsid w:val="00B91E8E"/>
    <w:rsid w:val="00B924DC"/>
    <w:rsid w:val="00BA0526"/>
    <w:rsid w:val="00BB1816"/>
    <w:rsid w:val="00BD11C9"/>
    <w:rsid w:val="00BD67E0"/>
    <w:rsid w:val="00BD6D64"/>
    <w:rsid w:val="00BE7947"/>
    <w:rsid w:val="00BF23E2"/>
    <w:rsid w:val="00BF3281"/>
    <w:rsid w:val="00BF4516"/>
    <w:rsid w:val="00C0475B"/>
    <w:rsid w:val="00C07B18"/>
    <w:rsid w:val="00C12010"/>
    <w:rsid w:val="00C21EC8"/>
    <w:rsid w:val="00C3772B"/>
    <w:rsid w:val="00C4046F"/>
    <w:rsid w:val="00C459E3"/>
    <w:rsid w:val="00C46088"/>
    <w:rsid w:val="00C52490"/>
    <w:rsid w:val="00C6405F"/>
    <w:rsid w:val="00C71F06"/>
    <w:rsid w:val="00C73958"/>
    <w:rsid w:val="00C753D2"/>
    <w:rsid w:val="00C80211"/>
    <w:rsid w:val="00C8123C"/>
    <w:rsid w:val="00C94203"/>
    <w:rsid w:val="00CA47CB"/>
    <w:rsid w:val="00CB7E64"/>
    <w:rsid w:val="00CC1776"/>
    <w:rsid w:val="00CC33D7"/>
    <w:rsid w:val="00CE1022"/>
    <w:rsid w:val="00CE4E1B"/>
    <w:rsid w:val="00CE77C9"/>
    <w:rsid w:val="00CF1870"/>
    <w:rsid w:val="00CF6402"/>
    <w:rsid w:val="00D00583"/>
    <w:rsid w:val="00D05B3D"/>
    <w:rsid w:val="00D060B7"/>
    <w:rsid w:val="00D11D3A"/>
    <w:rsid w:val="00D17739"/>
    <w:rsid w:val="00D2140A"/>
    <w:rsid w:val="00D22165"/>
    <w:rsid w:val="00D2269F"/>
    <w:rsid w:val="00D2743F"/>
    <w:rsid w:val="00D321EB"/>
    <w:rsid w:val="00D35206"/>
    <w:rsid w:val="00D358BD"/>
    <w:rsid w:val="00D40815"/>
    <w:rsid w:val="00D451BB"/>
    <w:rsid w:val="00D46366"/>
    <w:rsid w:val="00D5070F"/>
    <w:rsid w:val="00D53EFC"/>
    <w:rsid w:val="00D543AF"/>
    <w:rsid w:val="00D60252"/>
    <w:rsid w:val="00D65FA7"/>
    <w:rsid w:val="00D676FF"/>
    <w:rsid w:val="00D804BE"/>
    <w:rsid w:val="00D831CD"/>
    <w:rsid w:val="00D83AC8"/>
    <w:rsid w:val="00D868FD"/>
    <w:rsid w:val="00D87106"/>
    <w:rsid w:val="00D901C4"/>
    <w:rsid w:val="00DA3400"/>
    <w:rsid w:val="00DA48EC"/>
    <w:rsid w:val="00DA66CF"/>
    <w:rsid w:val="00DB0A67"/>
    <w:rsid w:val="00DB3EA6"/>
    <w:rsid w:val="00DC6C4B"/>
    <w:rsid w:val="00DC6FE4"/>
    <w:rsid w:val="00DC7B66"/>
    <w:rsid w:val="00DD0974"/>
    <w:rsid w:val="00DD411F"/>
    <w:rsid w:val="00DD4F85"/>
    <w:rsid w:val="00DD67E7"/>
    <w:rsid w:val="00DE092B"/>
    <w:rsid w:val="00DE3650"/>
    <w:rsid w:val="00DE635C"/>
    <w:rsid w:val="00DE7808"/>
    <w:rsid w:val="00DF12BC"/>
    <w:rsid w:val="00DF354E"/>
    <w:rsid w:val="00DF4C16"/>
    <w:rsid w:val="00DF5FAA"/>
    <w:rsid w:val="00E02C74"/>
    <w:rsid w:val="00E155F2"/>
    <w:rsid w:val="00E2358A"/>
    <w:rsid w:val="00E30CAF"/>
    <w:rsid w:val="00E35E20"/>
    <w:rsid w:val="00E35E7A"/>
    <w:rsid w:val="00E43EC5"/>
    <w:rsid w:val="00E44F37"/>
    <w:rsid w:val="00E52B9F"/>
    <w:rsid w:val="00E57235"/>
    <w:rsid w:val="00E62779"/>
    <w:rsid w:val="00E67C9A"/>
    <w:rsid w:val="00E77419"/>
    <w:rsid w:val="00E77700"/>
    <w:rsid w:val="00E8020A"/>
    <w:rsid w:val="00E830DA"/>
    <w:rsid w:val="00E84CCF"/>
    <w:rsid w:val="00E91E23"/>
    <w:rsid w:val="00E91EB5"/>
    <w:rsid w:val="00E93AB9"/>
    <w:rsid w:val="00E97A16"/>
    <w:rsid w:val="00E97EBE"/>
    <w:rsid w:val="00EB5669"/>
    <w:rsid w:val="00EC171F"/>
    <w:rsid w:val="00EC615C"/>
    <w:rsid w:val="00ED0464"/>
    <w:rsid w:val="00ED36EC"/>
    <w:rsid w:val="00EE56E3"/>
    <w:rsid w:val="00EE6434"/>
    <w:rsid w:val="00EE7237"/>
    <w:rsid w:val="00F04074"/>
    <w:rsid w:val="00F05CD3"/>
    <w:rsid w:val="00F166A8"/>
    <w:rsid w:val="00F207A9"/>
    <w:rsid w:val="00F22496"/>
    <w:rsid w:val="00F32D9B"/>
    <w:rsid w:val="00F352F0"/>
    <w:rsid w:val="00F415FB"/>
    <w:rsid w:val="00F50219"/>
    <w:rsid w:val="00F52CC9"/>
    <w:rsid w:val="00F5547B"/>
    <w:rsid w:val="00F5657E"/>
    <w:rsid w:val="00F57248"/>
    <w:rsid w:val="00F747ED"/>
    <w:rsid w:val="00F801A6"/>
    <w:rsid w:val="00F87BC8"/>
    <w:rsid w:val="00F90115"/>
    <w:rsid w:val="00F9234F"/>
    <w:rsid w:val="00F93A12"/>
    <w:rsid w:val="00F950A0"/>
    <w:rsid w:val="00F97644"/>
    <w:rsid w:val="00FA1028"/>
    <w:rsid w:val="00FA32A3"/>
    <w:rsid w:val="00FA517E"/>
    <w:rsid w:val="00FC0A14"/>
    <w:rsid w:val="00FC0CCF"/>
    <w:rsid w:val="00FC5C77"/>
    <w:rsid w:val="00FD5454"/>
    <w:rsid w:val="00FD7EC0"/>
    <w:rsid w:val="00FE21A9"/>
    <w:rsid w:val="00FE5470"/>
    <w:rsid w:val="00FE69F0"/>
    <w:rsid w:val="00FE6C12"/>
    <w:rsid w:val="00FE7049"/>
    <w:rsid w:val="00FE7AD1"/>
    <w:rsid w:val="00FF0FB7"/>
    <w:rsid w:val="00FF21CE"/>
    <w:rsid w:val="00FF2FC8"/>
    <w:rsid w:val="00FF5727"/>
    <w:rsid w:val="00FF775D"/>
    <w:rsid w:val="3D86E2BE"/>
    <w:rsid w:val="3DE1753A"/>
    <w:rsid w:val="526FD95C"/>
    <w:rsid w:val="7426B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36445"/>
  <w15:chartTrackingRefBased/>
  <w15:docId w15:val="{FA225AA1-D7F1-414A-BE66-177395D9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71F"/>
    <w:rPr>
      <w:spacing w:val="-2"/>
      <w:sz w:val="24"/>
    </w:rPr>
  </w:style>
  <w:style w:type="paragraph" w:styleId="Heading1">
    <w:name w:val="heading 1"/>
    <w:basedOn w:val="Normal"/>
    <w:next w:val="Normal"/>
    <w:qFormat/>
    <w:rsid w:val="00EC171F"/>
    <w:pPr>
      <w:keepNext/>
      <w:numPr>
        <w:numId w:val="1"/>
      </w:numPr>
      <w:jc w:val="center"/>
      <w:outlineLvl w:val="0"/>
    </w:pPr>
    <w:rPr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qFormat/>
    <w:rsid w:val="00EC171F"/>
    <w:pPr>
      <w:keepNext/>
      <w:numPr>
        <w:ilvl w:val="1"/>
        <w:numId w:val="1"/>
      </w:numPr>
      <w:tabs>
        <w:tab w:val="right" w:leader="dot" w:pos="7920"/>
      </w:tabs>
      <w:outlineLvl w:val="1"/>
    </w:pPr>
    <w:rPr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EC171F"/>
    <w:pPr>
      <w:keepNext/>
      <w:numPr>
        <w:ilvl w:val="2"/>
        <w:numId w:val="1"/>
      </w:numPr>
      <w:outlineLvl w:val="2"/>
    </w:pPr>
    <w:rPr>
      <w:b/>
      <w:bCs/>
      <w:smallCaps/>
    </w:rPr>
  </w:style>
  <w:style w:type="paragraph" w:styleId="Heading4">
    <w:name w:val="heading 4"/>
    <w:basedOn w:val="Normal"/>
    <w:next w:val="Normal"/>
    <w:qFormat/>
    <w:rsid w:val="00EC171F"/>
    <w:pPr>
      <w:keepNext/>
      <w:framePr w:hSpace="180" w:wrap="around" w:vAnchor="text" w:hAnchor="text" w:x="1548" w:y="1"/>
      <w:numPr>
        <w:ilvl w:val="3"/>
        <w:numId w:val="1"/>
      </w:numPr>
      <w:suppressOverlap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EC17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17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C171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EC171F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EC171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Index1"/>
    <w:semiHidden/>
    <w:rsid w:val="00EC171F"/>
    <w:pPr>
      <w:tabs>
        <w:tab w:val="right" w:leader="dot" w:pos="10800"/>
      </w:tabs>
      <w:ind w:left="360" w:hanging="360"/>
    </w:pPr>
  </w:style>
  <w:style w:type="paragraph" w:styleId="Index1">
    <w:name w:val="index 1"/>
    <w:basedOn w:val="Normal"/>
    <w:next w:val="Normal"/>
    <w:semiHidden/>
    <w:rsid w:val="00EC171F"/>
    <w:pPr>
      <w:tabs>
        <w:tab w:val="right" w:leader="dot" w:pos="10800"/>
      </w:tabs>
      <w:ind w:left="160" w:hanging="160"/>
    </w:pPr>
  </w:style>
  <w:style w:type="paragraph" w:styleId="Header">
    <w:name w:val="header"/>
    <w:basedOn w:val="Normal"/>
    <w:rsid w:val="00EC17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C171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C171F"/>
    <w:pPr>
      <w:ind w:left="720"/>
    </w:pPr>
    <w:rPr>
      <w:b/>
      <w:bCs/>
      <w:i/>
      <w:iCs/>
    </w:rPr>
  </w:style>
  <w:style w:type="paragraph" w:styleId="BodyTextIndent2">
    <w:name w:val="Body Text Indent 2"/>
    <w:basedOn w:val="Normal"/>
    <w:rsid w:val="00EC171F"/>
    <w:pPr>
      <w:ind w:left="720"/>
    </w:pPr>
  </w:style>
  <w:style w:type="paragraph" w:styleId="BodyTextIndent3">
    <w:name w:val="Body Text Indent 3"/>
    <w:basedOn w:val="Normal"/>
    <w:rsid w:val="00EC171F"/>
    <w:pPr>
      <w:ind w:left="2160" w:hanging="720"/>
    </w:pPr>
  </w:style>
  <w:style w:type="paragraph" w:styleId="Title">
    <w:name w:val="Title"/>
    <w:basedOn w:val="Normal"/>
    <w:qFormat/>
    <w:rsid w:val="00EC171F"/>
    <w:pPr>
      <w:jc w:val="center"/>
    </w:pPr>
    <w:rPr>
      <w:b/>
      <w:bCs/>
      <w:smallCaps/>
      <w:sz w:val="28"/>
      <w:szCs w:val="28"/>
    </w:rPr>
  </w:style>
  <w:style w:type="paragraph" w:styleId="EndnoteText">
    <w:name w:val="endnote text"/>
    <w:basedOn w:val="Normal"/>
    <w:semiHidden/>
    <w:rsid w:val="00EC171F"/>
    <w:pPr>
      <w:suppressAutoHyphens/>
    </w:pPr>
    <w:rPr>
      <w:spacing w:val="0"/>
    </w:rPr>
  </w:style>
  <w:style w:type="paragraph" w:styleId="TOC2">
    <w:name w:val="toc 2"/>
    <w:basedOn w:val="Normal"/>
    <w:next w:val="Normal"/>
    <w:autoRedefine/>
    <w:semiHidden/>
    <w:rsid w:val="00EC171F"/>
    <w:pPr>
      <w:ind w:left="720"/>
      <w:jc w:val="both"/>
    </w:pPr>
  </w:style>
  <w:style w:type="paragraph" w:customStyle="1" w:styleId="Exhibit">
    <w:name w:val="Exhibit"/>
    <w:basedOn w:val="Normal"/>
    <w:rsid w:val="00EC171F"/>
    <w:pPr>
      <w:suppressAutoHyphens/>
      <w:jc w:val="center"/>
    </w:pPr>
    <w:rPr>
      <w:rFonts w:ascii="CG Times" w:hAnsi="CG Times"/>
      <w:b/>
      <w:smallCaps/>
      <w:spacing w:val="0"/>
    </w:rPr>
  </w:style>
  <w:style w:type="paragraph" w:styleId="Caption">
    <w:name w:val="caption"/>
    <w:basedOn w:val="Normal"/>
    <w:next w:val="Normal"/>
    <w:qFormat/>
    <w:rsid w:val="00EC171F"/>
    <w:pPr>
      <w:framePr w:w="7920" w:h="1627" w:hSpace="187" w:wrap="around" w:hAnchor="text" w:x="1340" w:y="1" w:anchorLock="1"/>
      <w:pBdr>
        <w:bottom w:val="single" w:sz="18" w:space="1" w:color="000000"/>
      </w:pBdr>
      <w:tabs>
        <w:tab w:val="right" w:pos="7740"/>
      </w:tabs>
    </w:pPr>
    <w:rPr>
      <w:b/>
      <w:bCs/>
      <w:smallCaps/>
    </w:rPr>
  </w:style>
  <w:style w:type="paragraph" w:styleId="BlockText">
    <w:name w:val="Block Text"/>
    <w:basedOn w:val="Normal"/>
    <w:rsid w:val="00EC171F"/>
    <w:pPr>
      <w:spacing w:after="120"/>
      <w:ind w:left="1440" w:right="1440"/>
    </w:pPr>
  </w:style>
  <w:style w:type="paragraph" w:customStyle="1" w:styleId="RightPar2a">
    <w:name w:val="Right Par 2a"/>
    <w:rsid w:val="00EC171F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</w:rPr>
  </w:style>
  <w:style w:type="character" w:styleId="PageNumber">
    <w:name w:val="page number"/>
    <w:basedOn w:val="DefaultParagraphFont"/>
    <w:rsid w:val="00EC171F"/>
  </w:style>
  <w:style w:type="paragraph" w:styleId="BodyText">
    <w:name w:val="Body Text"/>
    <w:basedOn w:val="Normal"/>
    <w:rsid w:val="00EC171F"/>
    <w:pPr>
      <w:spacing w:after="120"/>
    </w:pPr>
  </w:style>
  <w:style w:type="paragraph" w:styleId="BodyText2">
    <w:name w:val="Body Text 2"/>
    <w:basedOn w:val="Normal"/>
    <w:rsid w:val="00EC171F"/>
    <w:pPr>
      <w:spacing w:after="120" w:line="480" w:lineRule="auto"/>
    </w:pPr>
  </w:style>
  <w:style w:type="paragraph" w:styleId="BodyText3">
    <w:name w:val="Body Text 3"/>
    <w:basedOn w:val="Normal"/>
    <w:rsid w:val="00EC171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C171F"/>
    <w:pPr>
      <w:ind w:firstLine="210"/>
    </w:pPr>
  </w:style>
  <w:style w:type="paragraph" w:styleId="BodyTextFirstIndent2">
    <w:name w:val="Body Text First Indent 2"/>
    <w:basedOn w:val="BodyTextIndent"/>
    <w:rsid w:val="00EC171F"/>
    <w:pPr>
      <w:spacing w:after="120"/>
      <w:ind w:left="360" w:firstLine="210"/>
    </w:pPr>
    <w:rPr>
      <w:b w:val="0"/>
      <w:bCs w:val="0"/>
      <w:i w:val="0"/>
      <w:iCs w:val="0"/>
    </w:rPr>
  </w:style>
  <w:style w:type="paragraph" w:styleId="Closing">
    <w:name w:val="Closing"/>
    <w:basedOn w:val="Normal"/>
    <w:rsid w:val="00EC171F"/>
    <w:pPr>
      <w:ind w:left="4320"/>
    </w:pPr>
  </w:style>
  <w:style w:type="paragraph" w:styleId="CommentText">
    <w:name w:val="annotation text"/>
    <w:basedOn w:val="Normal"/>
    <w:semiHidden/>
    <w:rsid w:val="00EC171F"/>
    <w:rPr>
      <w:sz w:val="20"/>
    </w:rPr>
  </w:style>
  <w:style w:type="paragraph" w:styleId="Date">
    <w:name w:val="Date"/>
    <w:basedOn w:val="Normal"/>
    <w:next w:val="Normal"/>
    <w:rsid w:val="00EC171F"/>
  </w:style>
  <w:style w:type="paragraph" w:styleId="DocumentMap">
    <w:name w:val="Document Map"/>
    <w:basedOn w:val="Normal"/>
    <w:semiHidden/>
    <w:rsid w:val="00EC171F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C171F"/>
  </w:style>
  <w:style w:type="paragraph" w:styleId="EnvelopeAddress">
    <w:name w:val="envelope address"/>
    <w:basedOn w:val="Normal"/>
    <w:rsid w:val="00EC171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C171F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EC171F"/>
    <w:rPr>
      <w:sz w:val="20"/>
    </w:rPr>
  </w:style>
  <w:style w:type="paragraph" w:styleId="HTMLAddress">
    <w:name w:val="HTML Address"/>
    <w:basedOn w:val="Normal"/>
    <w:rsid w:val="00EC171F"/>
    <w:rPr>
      <w:i/>
      <w:iCs/>
    </w:rPr>
  </w:style>
  <w:style w:type="paragraph" w:styleId="HTMLPreformatted">
    <w:name w:val="HTML Preformatted"/>
    <w:basedOn w:val="Normal"/>
    <w:rsid w:val="00EC171F"/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rsid w:val="00EC171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C171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C171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C171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C171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C171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C171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C171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C171F"/>
    <w:rPr>
      <w:rFonts w:ascii="Arial" w:hAnsi="Arial" w:cs="Arial"/>
      <w:b/>
      <w:bCs/>
    </w:rPr>
  </w:style>
  <w:style w:type="paragraph" w:styleId="List">
    <w:name w:val="List"/>
    <w:basedOn w:val="Normal"/>
    <w:rsid w:val="00EC171F"/>
    <w:pPr>
      <w:ind w:left="360" w:hanging="360"/>
    </w:pPr>
  </w:style>
  <w:style w:type="paragraph" w:styleId="List2">
    <w:name w:val="List 2"/>
    <w:basedOn w:val="Normal"/>
    <w:rsid w:val="00EC171F"/>
    <w:pPr>
      <w:ind w:left="720" w:hanging="360"/>
    </w:pPr>
  </w:style>
  <w:style w:type="paragraph" w:styleId="List3">
    <w:name w:val="List 3"/>
    <w:basedOn w:val="Normal"/>
    <w:rsid w:val="00EC171F"/>
    <w:pPr>
      <w:ind w:left="1080" w:hanging="360"/>
    </w:pPr>
  </w:style>
  <w:style w:type="paragraph" w:styleId="List4">
    <w:name w:val="List 4"/>
    <w:basedOn w:val="Normal"/>
    <w:rsid w:val="00EC171F"/>
    <w:pPr>
      <w:ind w:left="1440" w:hanging="360"/>
    </w:pPr>
  </w:style>
  <w:style w:type="paragraph" w:styleId="List5">
    <w:name w:val="List 5"/>
    <w:basedOn w:val="Normal"/>
    <w:rsid w:val="00EC171F"/>
    <w:pPr>
      <w:ind w:left="1800" w:hanging="360"/>
    </w:pPr>
  </w:style>
  <w:style w:type="paragraph" w:styleId="ListBullet">
    <w:name w:val="List Bullet"/>
    <w:basedOn w:val="Normal"/>
    <w:autoRedefine/>
    <w:rsid w:val="00EC171F"/>
    <w:pPr>
      <w:numPr>
        <w:numId w:val="2"/>
      </w:numPr>
    </w:pPr>
  </w:style>
  <w:style w:type="paragraph" w:styleId="ListBullet2">
    <w:name w:val="List Bullet 2"/>
    <w:basedOn w:val="Normal"/>
    <w:autoRedefine/>
    <w:rsid w:val="00EC171F"/>
    <w:pPr>
      <w:numPr>
        <w:numId w:val="3"/>
      </w:numPr>
    </w:pPr>
  </w:style>
  <w:style w:type="paragraph" w:styleId="ListBullet3">
    <w:name w:val="List Bullet 3"/>
    <w:basedOn w:val="Normal"/>
    <w:autoRedefine/>
    <w:rsid w:val="00EC171F"/>
    <w:pPr>
      <w:numPr>
        <w:numId w:val="4"/>
      </w:numPr>
    </w:pPr>
  </w:style>
  <w:style w:type="paragraph" w:styleId="ListBullet4">
    <w:name w:val="List Bullet 4"/>
    <w:basedOn w:val="Normal"/>
    <w:autoRedefine/>
    <w:rsid w:val="00EC171F"/>
    <w:pPr>
      <w:numPr>
        <w:numId w:val="5"/>
      </w:numPr>
    </w:pPr>
  </w:style>
  <w:style w:type="paragraph" w:styleId="ListBullet5">
    <w:name w:val="List Bullet 5"/>
    <w:basedOn w:val="Normal"/>
    <w:autoRedefine/>
    <w:rsid w:val="00EC171F"/>
    <w:pPr>
      <w:numPr>
        <w:numId w:val="6"/>
      </w:numPr>
    </w:pPr>
  </w:style>
  <w:style w:type="paragraph" w:styleId="ListContinue">
    <w:name w:val="List Continue"/>
    <w:basedOn w:val="Normal"/>
    <w:rsid w:val="00EC171F"/>
    <w:pPr>
      <w:spacing w:after="120"/>
      <w:ind w:left="360"/>
    </w:pPr>
  </w:style>
  <w:style w:type="paragraph" w:styleId="ListContinue2">
    <w:name w:val="List Continue 2"/>
    <w:basedOn w:val="Normal"/>
    <w:rsid w:val="00EC171F"/>
    <w:pPr>
      <w:spacing w:after="120"/>
      <w:ind w:left="720"/>
    </w:pPr>
  </w:style>
  <w:style w:type="paragraph" w:styleId="ListContinue3">
    <w:name w:val="List Continue 3"/>
    <w:basedOn w:val="Normal"/>
    <w:rsid w:val="00EC171F"/>
    <w:pPr>
      <w:spacing w:after="120"/>
      <w:ind w:left="1080"/>
    </w:pPr>
  </w:style>
  <w:style w:type="paragraph" w:styleId="ListContinue4">
    <w:name w:val="List Continue 4"/>
    <w:basedOn w:val="Normal"/>
    <w:rsid w:val="00EC171F"/>
    <w:pPr>
      <w:spacing w:after="120"/>
      <w:ind w:left="1440"/>
    </w:pPr>
  </w:style>
  <w:style w:type="paragraph" w:styleId="ListContinue5">
    <w:name w:val="List Continue 5"/>
    <w:basedOn w:val="Normal"/>
    <w:rsid w:val="00EC171F"/>
    <w:pPr>
      <w:spacing w:after="120"/>
      <w:ind w:left="1800"/>
    </w:pPr>
  </w:style>
  <w:style w:type="paragraph" w:styleId="ListNumber">
    <w:name w:val="List Number"/>
    <w:basedOn w:val="Normal"/>
    <w:rsid w:val="00EC171F"/>
    <w:pPr>
      <w:numPr>
        <w:numId w:val="7"/>
      </w:numPr>
    </w:pPr>
  </w:style>
  <w:style w:type="paragraph" w:styleId="ListNumber2">
    <w:name w:val="List Number 2"/>
    <w:basedOn w:val="Normal"/>
    <w:rsid w:val="00EC171F"/>
    <w:pPr>
      <w:numPr>
        <w:numId w:val="8"/>
      </w:numPr>
    </w:pPr>
  </w:style>
  <w:style w:type="paragraph" w:styleId="ListNumber3">
    <w:name w:val="List Number 3"/>
    <w:basedOn w:val="Normal"/>
    <w:rsid w:val="00EC171F"/>
    <w:pPr>
      <w:numPr>
        <w:numId w:val="9"/>
      </w:numPr>
    </w:pPr>
  </w:style>
  <w:style w:type="paragraph" w:styleId="ListNumber4">
    <w:name w:val="List Number 4"/>
    <w:basedOn w:val="Normal"/>
    <w:rsid w:val="00EC171F"/>
    <w:pPr>
      <w:numPr>
        <w:numId w:val="10"/>
      </w:numPr>
    </w:pPr>
  </w:style>
  <w:style w:type="paragraph" w:styleId="ListNumber5">
    <w:name w:val="List Number 5"/>
    <w:basedOn w:val="Normal"/>
    <w:rsid w:val="00EC171F"/>
    <w:pPr>
      <w:numPr>
        <w:numId w:val="11"/>
      </w:numPr>
    </w:pPr>
  </w:style>
  <w:style w:type="paragraph" w:styleId="MacroText">
    <w:name w:val="macro"/>
    <w:semiHidden/>
    <w:rsid w:val="00EC17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pacing w:val="-2"/>
    </w:rPr>
  </w:style>
  <w:style w:type="paragraph" w:styleId="MessageHeader">
    <w:name w:val="Message Header"/>
    <w:basedOn w:val="Normal"/>
    <w:rsid w:val="00EC17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EC171F"/>
    <w:rPr>
      <w:szCs w:val="24"/>
    </w:rPr>
  </w:style>
  <w:style w:type="paragraph" w:styleId="NormalIndent">
    <w:name w:val="Normal Indent"/>
    <w:basedOn w:val="Normal"/>
    <w:rsid w:val="00EC171F"/>
    <w:pPr>
      <w:ind w:left="720"/>
    </w:pPr>
  </w:style>
  <w:style w:type="paragraph" w:styleId="NoteHeading">
    <w:name w:val="Note Heading"/>
    <w:basedOn w:val="Normal"/>
    <w:next w:val="Normal"/>
    <w:rsid w:val="00EC171F"/>
  </w:style>
  <w:style w:type="paragraph" w:styleId="PlainText">
    <w:name w:val="Plain Text"/>
    <w:basedOn w:val="Normal"/>
    <w:rsid w:val="00EC171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C171F"/>
  </w:style>
  <w:style w:type="paragraph" w:styleId="Signature">
    <w:name w:val="Signature"/>
    <w:basedOn w:val="Normal"/>
    <w:rsid w:val="00EC171F"/>
    <w:pPr>
      <w:ind w:left="4320"/>
    </w:pPr>
  </w:style>
  <w:style w:type="paragraph" w:styleId="Subtitle">
    <w:name w:val="Subtitle"/>
    <w:basedOn w:val="Normal"/>
    <w:qFormat/>
    <w:rsid w:val="00EC171F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EC171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C171F"/>
    <w:pPr>
      <w:ind w:left="480" w:hanging="480"/>
    </w:pPr>
  </w:style>
  <w:style w:type="paragraph" w:styleId="TOAHeading">
    <w:name w:val="toa heading"/>
    <w:basedOn w:val="Normal"/>
    <w:next w:val="Normal"/>
    <w:semiHidden/>
    <w:rsid w:val="00EC171F"/>
    <w:pPr>
      <w:spacing w:before="120"/>
    </w:pPr>
    <w:rPr>
      <w:rFonts w:ascii="Arial" w:hAnsi="Arial" w:cs="Arial"/>
      <w:b/>
      <w:bCs/>
      <w:szCs w:val="24"/>
    </w:rPr>
  </w:style>
  <w:style w:type="paragraph" w:styleId="TOC3">
    <w:name w:val="toc 3"/>
    <w:basedOn w:val="Normal"/>
    <w:next w:val="Normal"/>
    <w:autoRedefine/>
    <w:semiHidden/>
    <w:rsid w:val="00EC171F"/>
    <w:pPr>
      <w:ind w:left="480"/>
    </w:pPr>
  </w:style>
  <w:style w:type="paragraph" w:styleId="TOC4">
    <w:name w:val="toc 4"/>
    <w:basedOn w:val="Normal"/>
    <w:next w:val="Normal"/>
    <w:autoRedefine/>
    <w:semiHidden/>
    <w:rsid w:val="00EC171F"/>
    <w:pPr>
      <w:ind w:left="720"/>
    </w:pPr>
  </w:style>
  <w:style w:type="paragraph" w:styleId="TOC5">
    <w:name w:val="toc 5"/>
    <w:basedOn w:val="Normal"/>
    <w:next w:val="Normal"/>
    <w:autoRedefine/>
    <w:semiHidden/>
    <w:rsid w:val="00EC171F"/>
    <w:pPr>
      <w:ind w:left="960"/>
    </w:pPr>
  </w:style>
  <w:style w:type="paragraph" w:styleId="TOC6">
    <w:name w:val="toc 6"/>
    <w:basedOn w:val="Normal"/>
    <w:next w:val="Normal"/>
    <w:autoRedefine/>
    <w:semiHidden/>
    <w:rsid w:val="00EC171F"/>
    <w:pPr>
      <w:ind w:left="1200"/>
    </w:pPr>
  </w:style>
  <w:style w:type="paragraph" w:styleId="TOC7">
    <w:name w:val="toc 7"/>
    <w:basedOn w:val="Normal"/>
    <w:next w:val="Normal"/>
    <w:autoRedefine/>
    <w:semiHidden/>
    <w:rsid w:val="00EC171F"/>
    <w:pPr>
      <w:ind w:left="1440"/>
    </w:pPr>
  </w:style>
  <w:style w:type="paragraph" w:styleId="TOC8">
    <w:name w:val="toc 8"/>
    <w:basedOn w:val="Normal"/>
    <w:next w:val="Normal"/>
    <w:autoRedefine/>
    <w:semiHidden/>
    <w:rsid w:val="00EC171F"/>
    <w:pPr>
      <w:ind w:left="1680"/>
    </w:pPr>
  </w:style>
  <w:style w:type="paragraph" w:styleId="TOC9">
    <w:name w:val="toc 9"/>
    <w:basedOn w:val="Normal"/>
    <w:next w:val="Normal"/>
    <w:autoRedefine/>
    <w:semiHidden/>
    <w:rsid w:val="00EC171F"/>
    <w:pPr>
      <w:ind w:left="1920"/>
    </w:pPr>
  </w:style>
  <w:style w:type="paragraph" w:customStyle="1" w:styleId="Document1">
    <w:name w:val="Document 1"/>
    <w:autoRedefine/>
    <w:rsid w:val="00EC171F"/>
    <w:pPr>
      <w:numPr>
        <w:numId w:val="12"/>
      </w:numPr>
      <w:tabs>
        <w:tab w:val="left" w:leader="dot" w:pos="8082"/>
      </w:tabs>
      <w:spacing w:before="60"/>
      <w:ind w:right="218"/>
    </w:pPr>
    <w:rPr>
      <w:smallCaps/>
      <w:sz w:val="24"/>
    </w:rPr>
  </w:style>
  <w:style w:type="character" w:styleId="Hyperlink">
    <w:name w:val="Hyperlink"/>
    <w:rsid w:val="00EC171F"/>
    <w:rPr>
      <w:color w:val="0000FF"/>
      <w:u w:val="single"/>
    </w:rPr>
  </w:style>
  <w:style w:type="paragraph" w:styleId="CommentSubject">
    <w:name w:val="annotation subject"/>
    <w:basedOn w:val="CommentText"/>
    <w:next w:val="CommentText"/>
    <w:semiHidden/>
    <w:rsid w:val="00EC171F"/>
    <w:rPr>
      <w:b/>
      <w:bCs/>
      <w:spacing w:val="0"/>
    </w:rPr>
  </w:style>
  <w:style w:type="paragraph" w:styleId="BalloonText">
    <w:name w:val="Balloon Text"/>
    <w:basedOn w:val="Normal"/>
    <w:semiHidden/>
    <w:rsid w:val="00EC171F"/>
    <w:rPr>
      <w:rFonts w:ascii="Tahoma" w:hAnsi="Tahoma" w:cs="Tahoma"/>
      <w:sz w:val="16"/>
      <w:szCs w:val="16"/>
    </w:rPr>
  </w:style>
  <w:style w:type="paragraph" w:customStyle="1" w:styleId="1">
    <w:name w:val="_1"/>
    <w:basedOn w:val="Normal"/>
    <w:rsid w:val="00EC171F"/>
    <w:pPr>
      <w:widowControl w:val="0"/>
      <w:ind w:left="2160" w:hanging="720"/>
    </w:pPr>
    <w:rPr>
      <w:snapToGrid w:val="0"/>
      <w:spacing w:val="0"/>
    </w:rPr>
  </w:style>
  <w:style w:type="paragraph" w:customStyle="1" w:styleId="a">
    <w:name w:val="_"/>
    <w:basedOn w:val="Normal"/>
    <w:rsid w:val="00EC171F"/>
    <w:pPr>
      <w:widowControl w:val="0"/>
      <w:ind w:left="1440" w:hanging="720"/>
    </w:pPr>
    <w:rPr>
      <w:snapToGrid w:val="0"/>
      <w:spacing w:val="0"/>
    </w:rPr>
  </w:style>
  <w:style w:type="character" w:styleId="FollowedHyperlink">
    <w:name w:val="FollowedHyperlink"/>
    <w:rsid w:val="00EC171F"/>
    <w:rPr>
      <w:color w:val="606420"/>
      <w:u w:val="single"/>
    </w:rPr>
  </w:style>
  <w:style w:type="character" w:styleId="LineNumber">
    <w:name w:val="line number"/>
    <w:basedOn w:val="DefaultParagraphFont"/>
    <w:rsid w:val="00EC171F"/>
  </w:style>
  <w:style w:type="character" w:customStyle="1" w:styleId="sc">
    <w:name w:val="sc"/>
    <w:basedOn w:val="DefaultParagraphFont"/>
    <w:rsid w:val="00EC171F"/>
  </w:style>
  <w:style w:type="paragraph" w:customStyle="1" w:styleId="paragraph">
    <w:name w:val="paragraph"/>
    <w:basedOn w:val="Normal"/>
    <w:rsid w:val="00EC171F"/>
    <w:pPr>
      <w:spacing w:before="100" w:beforeAutospacing="1" w:after="100" w:afterAutospacing="1"/>
    </w:pPr>
    <w:rPr>
      <w:spacing w:val="0"/>
      <w:szCs w:val="24"/>
    </w:rPr>
  </w:style>
  <w:style w:type="paragraph" w:customStyle="1" w:styleId="subpara">
    <w:name w:val="subpara"/>
    <w:basedOn w:val="Normal"/>
    <w:rsid w:val="00EC171F"/>
    <w:pPr>
      <w:spacing w:before="100" w:beforeAutospacing="1" w:after="100" w:afterAutospacing="1"/>
    </w:pPr>
    <w:rPr>
      <w:spacing w:val="0"/>
      <w:szCs w:val="24"/>
    </w:rPr>
  </w:style>
  <w:style w:type="paragraph" w:customStyle="1" w:styleId="clause">
    <w:name w:val="clause"/>
    <w:basedOn w:val="Normal"/>
    <w:rsid w:val="00EC171F"/>
    <w:pPr>
      <w:spacing w:before="100" w:beforeAutospacing="1" w:after="100" w:afterAutospacing="1"/>
    </w:pPr>
    <w:rPr>
      <w:spacing w:val="0"/>
      <w:szCs w:val="24"/>
    </w:rPr>
  </w:style>
  <w:style w:type="paragraph" w:customStyle="1" w:styleId="subclause">
    <w:name w:val="subclause"/>
    <w:basedOn w:val="Normal"/>
    <w:rsid w:val="00EC171F"/>
    <w:pPr>
      <w:spacing w:before="100" w:beforeAutospacing="1" w:after="100" w:afterAutospacing="1"/>
    </w:pPr>
    <w:rPr>
      <w:spacing w:val="0"/>
      <w:szCs w:val="24"/>
    </w:rPr>
  </w:style>
  <w:style w:type="character" w:customStyle="1" w:styleId="updatebodytest1">
    <w:name w:val="updatebodytest1"/>
    <w:rsid w:val="00EC171F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character" w:styleId="Emphasis">
    <w:name w:val="Emphasis"/>
    <w:qFormat/>
    <w:rsid w:val="00EC171F"/>
    <w:rPr>
      <w:b/>
      <w:bCs/>
      <w:i w:val="0"/>
      <w:iCs w:val="0"/>
    </w:rPr>
  </w:style>
  <w:style w:type="character" w:styleId="FootnoteReference">
    <w:name w:val="footnote reference"/>
    <w:rsid w:val="00340AF7"/>
    <w:rPr>
      <w:vertAlign w:val="superscript"/>
    </w:rPr>
  </w:style>
  <w:style w:type="character" w:customStyle="1" w:styleId="FooterChar">
    <w:name w:val="Footer Char"/>
    <w:link w:val="Footer"/>
    <w:uiPriority w:val="99"/>
    <w:rsid w:val="00D2269F"/>
    <w:rPr>
      <w:spacing w:val="-2"/>
      <w:sz w:val="24"/>
    </w:rPr>
  </w:style>
  <w:style w:type="character" w:styleId="CommentReference">
    <w:name w:val="annotation reference"/>
    <w:rsid w:val="004413BF"/>
    <w:rPr>
      <w:sz w:val="16"/>
      <w:szCs w:val="16"/>
    </w:rPr>
  </w:style>
  <w:style w:type="paragraph" w:customStyle="1" w:styleId="Default">
    <w:name w:val="Default"/>
    <w:rsid w:val="00AB10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0FC"/>
    <w:pPr>
      <w:ind w:left="720"/>
    </w:pPr>
    <w:rPr>
      <w:rFonts w:ascii="Calibri" w:eastAsia="Calibri" w:hAnsi="Calibri"/>
      <w:spacing w:val="0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8C3A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0815"/>
    <w:rPr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2522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9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38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E6C2FD-3666-40D6-835C-5732C0A6E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3F63C-7800-4218-B67A-2A90F55B6B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B8E3A0-A425-4395-AA27-C762B81E2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2F6DC2-B5E3-4E7E-BBFA-18601EBF921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3BD42C5-3010-4B76-857F-51106C359BED}">
  <ds:schemaRefs>
    <ds:schemaRef ds:uri="898c3d9e-a56e-434b-bb6a-7c6f06128eeb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5539627f-a073-49ae-920d-28f8649be13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Policy 1630 - Attachment A</vt:lpstr>
    </vt:vector>
  </TitlesOfParts>
  <Company>AHCCCS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1630 - ATTACHMENT A</dc:title>
  <dc:subject/>
  <dc:creator>cxwillia</dc:creator>
  <cp:keywords/>
  <cp:lastModifiedBy>Voogd, Leanna</cp:lastModifiedBy>
  <cp:revision>3</cp:revision>
  <cp:lastPrinted>2023-07-18T23:42:00Z</cp:lastPrinted>
  <dcterms:created xsi:type="dcterms:W3CDTF">2023-09-25T22:05:00Z</dcterms:created>
  <dcterms:modified xsi:type="dcterms:W3CDTF">2023-09-26T00:12:00Z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/manuals/amp/AMPM/Medical Policies</vt:lpwstr>
  </property>
  <property fmtid="{D5CDD505-2E9C-101B-9397-08002B2CF9AE}" pid="4" name="IconOverlay">
    <vt:lpwstr/>
  </property>
  <property fmtid="{D5CDD505-2E9C-101B-9397-08002B2CF9AE}" pid="5" name="Bool">
    <vt:lpwstr>0</vt:lpwstr>
  </property>
  <property fmtid="{D5CDD505-2E9C-101B-9397-08002B2CF9AE}" pid="6" name="APC">
    <vt:lpwstr>0</vt:lpwstr>
  </property>
  <property fmtid="{D5CDD505-2E9C-101B-9397-08002B2CF9AE}" pid="7" name="Urgent">
    <vt:lpwstr>0</vt:lpwstr>
  </property>
  <property fmtid="{D5CDD505-2E9C-101B-9397-08002B2CF9AE}" pid="8" name="TCN PC">
    <vt:lpwstr/>
  </property>
  <property fmtid="{D5CDD505-2E9C-101B-9397-08002B2CF9AE}" pid="9" name="display_urn:schemas-microsoft-com:office:office#Editor">
    <vt:lpwstr>Borys, Sandi</vt:lpwstr>
  </property>
  <property fmtid="{D5CDD505-2E9C-101B-9397-08002B2CF9AE}" pid="10" name="display_urn:schemas-microsoft-com:office:office#Author">
    <vt:lpwstr>Borys, Sandi</vt:lpwstr>
  </property>
  <property fmtid="{D5CDD505-2E9C-101B-9397-08002B2CF9AE}" pid="11" name="ContentTypeId">
    <vt:lpwstr>0x010100F11CB2E9DD614A43A66932E7A29982D5</vt:lpwstr>
  </property>
  <property fmtid="{D5CDD505-2E9C-101B-9397-08002B2CF9AE}" pid="12" name="Order">
    <vt:r8>516300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MediaServiceImageTags">
    <vt:lpwstr/>
  </property>
</Properties>
</file>